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09D9" w14:textId="7A1B92BC" w:rsidR="00516A78" w:rsidRDefault="00516A78" w:rsidP="00C96C3A">
      <w:pPr>
        <w:rPr>
          <w:b/>
          <w:u w:val="single"/>
        </w:rPr>
      </w:pPr>
    </w:p>
    <w:tbl>
      <w:tblPr>
        <w:tblpPr w:leftFromText="180" w:rightFromText="180" w:vertAnchor="page" w:horzAnchor="margin" w:tblpY="892"/>
        <w:tblW w:w="51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28" w:type="dxa"/>
          <w:right w:w="28" w:type="dxa"/>
        </w:tblCellMar>
        <w:tblLook w:val="01E0" w:firstRow="1" w:lastRow="1" w:firstColumn="1" w:lastColumn="1" w:noHBand="0" w:noVBand="0"/>
      </w:tblPr>
      <w:tblGrid>
        <w:gridCol w:w="9315"/>
      </w:tblGrid>
      <w:tr w:rsidR="00B33EC2" w:rsidRPr="009E5547" w14:paraId="6C88B98A" w14:textId="77777777" w:rsidTr="00A75344">
        <w:trPr>
          <w:cantSplit/>
        </w:trPr>
        <w:tc>
          <w:tcPr>
            <w:tcW w:w="5000" w:type="pct"/>
            <w:shd w:val="clear" w:color="auto" w:fill="33CCCC"/>
            <w:vAlign w:val="center"/>
          </w:tcPr>
          <w:p w14:paraId="4607B844" w14:textId="77777777" w:rsidR="00B33EC2" w:rsidRDefault="00B33EC2" w:rsidP="00A75344">
            <w:pPr>
              <w:spacing w:after="0" w:line="240" w:lineRule="auto"/>
              <w:ind w:left="794" w:right="794"/>
              <w:jc w:val="center"/>
              <w:rPr>
                <w:rFonts w:ascii="Candara" w:eastAsia="Times New Roman" w:hAnsi="Candara" w:cs="Arial"/>
                <w:b/>
                <w:bCs/>
                <w:color w:val="FFFFFF"/>
                <w:sz w:val="28"/>
                <w:szCs w:val="28"/>
                <w:lang w:eastAsia="en-GB"/>
              </w:rPr>
            </w:pPr>
          </w:p>
          <w:p w14:paraId="567C04CE" w14:textId="22C806A2" w:rsidR="00B33EC2" w:rsidRPr="00B33EC2" w:rsidRDefault="00B33EC2" w:rsidP="00A75344">
            <w:pPr>
              <w:ind w:left="794" w:right="794"/>
              <w:jc w:val="center"/>
              <w:rPr>
                <w:rFonts w:cs="Arial"/>
                <w:b/>
                <w:color w:val="FFFFFF" w:themeColor="background1"/>
                <w:sz w:val="36"/>
                <w:szCs w:val="36"/>
              </w:rPr>
            </w:pPr>
            <w:r w:rsidRPr="00B33EC2">
              <w:rPr>
                <w:rFonts w:cs="Arial"/>
                <w:b/>
                <w:color w:val="FFFFFF" w:themeColor="background1"/>
                <w:sz w:val="36"/>
                <w:szCs w:val="36"/>
              </w:rPr>
              <w:t>Post of Independent Chair for Sound Foundation Somerset</w:t>
            </w:r>
          </w:p>
          <w:p w14:paraId="6ED13FC7" w14:textId="3D9040A6" w:rsidR="00B33EC2" w:rsidRPr="00F969AB" w:rsidRDefault="00B33EC2" w:rsidP="00F969AB">
            <w:pPr>
              <w:ind w:left="794" w:right="794"/>
              <w:jc w:val="center"/>
              <w:rPr>
                <w:rFonts w:cs="Arial"/>
                <w:b/>
                <w:color w:val="FFFFFF" w:themeColor="background1"/>
                <w:sz w:val="36"/>
                <w:szCs w:val="36"/>
              </w:rPr>
            </w:pPr>
            <w:r w:rsidRPr="00B33EC2">
              <w:rPr>
                <w:rFonts w:cs="Arial"/>
                <w:b/>
                <w:color w:val="FFFFFF" w:themeColor="background1"/>
                <w:sz w:val="36"/>
                <w:szCs w:val="36"/>
              </w:rPr>
              <w:t>Supporting Information</w:t>
            </w:r>
          </w:p>
        </w:tc>
      </w:tr>
    </w:tbl>
    <w:p w14:paraId="01BA0D0F" w14:textId="52608D3B" w:rsidR="00C96C3A" w:rsidRPr="00911B7F" w:rsidRDefault="00C96C3A" w:rsidP="00911B7F">
      <w:pPr>
        <w:spacing w:after="0"/>
        <w:rPr>
          <w:rFonts w:cs="Arial"/>
          <w:szCs w:val="24"/>
        </w:rPr>
      </w:pPr>
      <w:r w:rsidRPr="00911B7F">
        <w:rPr>
          <w:rFonts w:cs="Arial"/>
          <w:szCs w:val="24"/>
        </w:rPr>
        <w:t xml:space="preserve">Thank you for your interest in the vacancy for </w:t>
      </w:r>
      <w:r w:rsidR="00A325CA" w:rsidRPr="00911B7F">
        <w:rPr>
          <w:rFonts w:cs="Arial"/>
          <w:szCs w:val="24"/>
        </w:rPr>
        <w:t xml:space="preserve">the Independent </w:t>
      </w:r>
      <w:r w:rsidRPr="00911B7F">
        <w:rPr>
          <w:rFonts w:cs="Arial"/>
          <w:szCs w:val="24"/>
        </w:rPr>
        <w:t>Chair of Sound Foundation Somerset</w:t>
      </w:r>
      <w:r w:rsidR="00B33EC2" w:rsidRPr="00911B7F">
        <w:rPr>
          <w:rFonts w:cs="Arial"/>
          <w:szCs w:val="24"/>
        </w:rPr>
        <w:t xml:space="preserve">. We hope you find the following information useful. </w:t>
      </w:r>
    </w:p>
    <w:p w14:paraId="69BE0526" w14:textId="77777777" w:rsidR="00911B7F" w:rsidRDefault="00911B7F" w:rsidP="00911B7F">
      <w:pPr>
        <w:spacing w:after="0"/>
        <w:rPr>
          <w:rFonts w:cs="Arial"/>
          <w:b/>
          <w:szCs w:val="24"/>
        </w:rPr>
      </w:pPr>
    </w:p>
    <w:p w14:paraId="5993A4A8" w14:textId="7046DDF5" w:rsidR="00B175DD" w:rsidRPr="00911B7F" w:rsidRDefault="00C96C3A" w:rsidP="00911B7F">
      <w:pPr>
        <w:spacing w:after="0"/>
        <w:rPr>
          <w:rFonts w:cs="Arial"/>
          <w:b/>
          <w:szCs w:val="24"/>
        </w:rPr>
      </w:pPr>
      <w:r w:rsidRPr="00911B7F">
        <w:rPr>
          <w:rFonts w:cs="Arial"/>
          <w:b/>
          <w:szCs w:val="24"/>
        </w:rPr>
        <w:t>BACKGROUND</w:t>
      </w:r>
      <w:r w:rsidR="00984C36" w:rsidRPr="00911B7F">
        <w:rPr>
          <w:rFonts w:cs="Arial"/>
          <w:b/>
          <w:szCs w:val="24"/>
        </w:rPr>
        <w:t xml:space="preserve"> </w:t>
      </w:r>
    </w:p>
    <w:p w14:paraId="66895DC1" w14:textId="77777777" w:rsidR="00267A76" w:rsidRPr="00911B7F" w:rsidRDefault="00267A76" w:rsidP="00911B7F">
      <w:pPr>
        <w:spacing w:after="0"/>
        <w:rPr>
          <w:rFonts w:cs="Arial"/>
          <w:b/>
          <w:szCs w:val="24"/>
        </w:rPr>
      </w:pPr>
    </w:p>
    <w:p w14:paraId="33B01C24" w14:textId="25025BD2" w:rsidR="00370CD2" w:rsidRPr="00911B7F" w:rsidRDefault="00370CD2" w:rsidP="00911B7F">
      <w:pPr>
        <w:spacing w:after="0"/>
        <w:rPr>
          <w:rFonts w:cs="Arial"/>
          <w:b/>
          <w:szCs w:val="24"/>
        </w:rPr>
      </w:pPr>
      <w:r w:rsidRPr="00911B7F">
        <w:rPr>
          <w:rFonts w:cs="Arial"/>
          <w:b/>
          <w:szCs w:val="24"/>
        </w:rPr>
        <w:t>WHAT ARE MUSIC EDUCATION HUBS?</w:t>
      </w:r>
    </w:p>
    <w:p w14:paraId="40DF0424" w14:textId="77777777" w:rsidR="00911B7F" w:rsidRDefault="00911B7F" w:rsidP="00911B7F">
      <w:pPr>
        <w:spacing w:after="0"/>
        <w:rPr>
          <w:rFonts w:cs="Arial"/>
          <w:szCs w:val="24"/>
        </w:rPr>
      </w:pPr>
    </w:p>
    <w:p w14:paraId="5E4A049E" w14:textId="4678087D" w:rsidR="009502A1" w:rsidRPr="00847B50" w:rsidRDefault="00370CD2" w:rsidP="00911B7F">
      <w:pPr>
        <w:spacing w:after="0"/>
        <w:rPr>
          <w:rFonts w:cs="Arial"/>
          <w:szCs w:val="24"/>
        </w:rPr>
      </w:pPr>
      <w:r w:rsidRPr="00911B7F">
        <w:rPr>
          <w:rFonts w:cs="Arial"/>
          <w:szCs w:val="24"/>
        </w:rPr>
        <w:t xml:space="preserve">Music Education Hubs are groups of organisations – such as local authorities, schools, other hubs, art organisations, community or voluntary organisations – working together to create joined-up music education provision, respond to local need and fulfil the objectives of the Hub as set out in the </w:t>
      </w:r>
      <w:r w:rsidR="000362B1" w:rsidRPr="00911B7F">
        <w:rPr>
          <w:rFonts w:cs="Arial"/>
          <w:szCs w:val="24"/>
        </w:rPr>
        <w:t>Department for Education’s document “The Importance of Music: A National Plan for Music Education</w:t>
      </w:r>
      <w:r w:rsidRPr="00911B7F">
        <w:rPr>
          <w:rFonts w:cs="Arial"/>
          <w:szCs w:val="24"/>
        </w:rPr>
        <w:t xml:space="preserve"> (NPME)</w:t>
      </w:r>
      <w:r w:rsidR="000362B1" w:rsidRPr="00911B7F">
        <w:rPr>
          <w:rFonts w:cs="Arial"/>
          <w:szCs w:val="24"/>
        </w:rPr>
        <w:t xml:space="preserve"> </w:t>
      </w:r>
      <w:hyperlink r:id="rId7" w:history="1">
        <w:r w:rsidR="000362B1" w:rsidRPr="00911B7F">
          <w:rPr>
            <w:rStyle w:val="Hyperlink"/>
            <w:rFonts w:cs="Arial"/>
            <w:szCs w:val="24"/>
          </w:rPr>
          <w:t>https://assets.publishing.service.gov.uk/government/uploads/system/uploads/attachment_data/file/180973/DFE-00086-2011.pdf</w:t>
        </w:r>
      </w:hyperlink>
      <w:r w:rsidR="000362B1" w:rsidRPr="00911B7F">
        <w:rPr>
          <w:rFonts w:cs="Arial"/>
          <w:szCs w:val="24"/>
        </w:rPr>
        <w:t xml:space="preserve"> </w:t>
      </w:r>
      <w:r w:rsidR="00B0475A" w:rsidRPr="00911B7F">
        <w:rPr>
          <w:rFonts w:cs="Arial"/>
          <w:szCs w:val="24"/>
        </w:rPr>
        <w:t>including 4 Core and 3 Extension Roles – see below</w:t>
      </w:r>
      <w:r w:rsidRPr="00911B7F">
        <w:rPr>
          <w:rFonts w:cs="Arial"/>
          <w:szCs w:val="24"/>
        </w:rPr>
        <w:t>.</w:t>
      </w:r>
      <w:r w:rsidR="000362B1" w:rsidRPr="00911B7F">
        <w:rPr>
          <w:rFonts w:cs="Arial"/>
          <w:szCs w:val="24"/>
        </w:rPr>
        <w:t xml:space="preserve">  </w:t>
      </w:r>
      <w:r w:rsidRPr="00911B7F">
        <w:rPr>
          <w:rFonts w:cs="Arial"/>
          <w:szCs w:val="24"/>
        </w:rPr>
        <w:t>Music Education Hubs were established in 2012, in response to the NPME to provide access, opportunities and excellence in music education for all children and young people</w:t>
      </w:r>
      <w:r w:rsidR="00C65C48" w:rsidRPr="00911B7F">
        <w:rPr>
          <w:rFonts w:cs="Arial"/>
          <w:szCs w:val="24"/>
        </w:rPr>
        <w:t>.</w:t>
      </w:r>
      <w:r w:rsidR="00847B50">
        <w:rPr>
          <w:rFonts w:cs="Arial"/>
          <w:szCs w:val="24"/>
        </w:rPr>
        <w:t xml:space="preserve"> </w:t>
      </w:r>
      <w:r w:rsidRPr="00911B7F">
        <w:rPr>
          <w:rFonts w:cs="Arial"/>
          <w:szCs w:val="24"/>
        </w:rPr>
        <w:t>Hubs are coordinated by the Hub lead organisation, which takes on responsibility for the funding and governance of the Hub.</w:t>
      </w:r>
      <w:r w:rsidR="009502A1" w:rsidRPr="00911B7F">
        <w:rPr>
          <w:rFonts w:cs="Arial"/>
          <w:szCs w:val="24"/>
          <w:lang w:val="en"/>
        </w:rPr>
        <w:t xml:space="preserve"> </w:t>
      </w:r>
    </w:p>
    <w:p w14:paraId="62424FF5" w14:textId="77777777" w:rsidR="00267A76" w:rsidRPr="00911B7F" w:rsidRDefault="00267A76" w:rsidP="00911B7F">
      <w:pPr>
        <w:spacing w:after="0"/>
        <w:rPr>
          <w:rFonts w:cs="Arial"/>
          <w:b/>
          <w:szCs w:val="24"/>
          <w:lang w:val="en"/>
        </w:rPr>
      </w:pPr>
    </w:p>
    <w:p w14:paraId="0FD75DE8" w14:textId="7E74CF51" w:rsidR="009502A1" w:rsidRPr="00911B7F" w:rsidRDefault="009502A1" w:rsidP="00911B7F">
      <w:pPr>
        <w:spacing w:after="0"/>
        <w:rPr>
          <w:rFonts w:cs="Arial"/>
          <w:b/>
          <w:szCs w:val="24"/>
          <w:lang w:val="en"/>
        </w:rPr>
      </w:pPr>
      <w:r w:rsidRPr="00911B7F">
        <w:rPr>
          <w:rFonts w:cs="Arial"/>
          <w:b/>
          <w:szCs w:val="24"/>
          <w:lang w:val="en"/>
        </w:rPr>
        <w:t>HOW ARE HUBS FUNDED?</w:t>
      </w:r>
    </w:p>
    <w:p w14:paraId="3A5EBD1C" w14:textId="77777777" w:rsidR="00911B7F" w:rsidRDefault="00911B7F" w:rsidP="00911B7F">
      <w:pPr>
        <w:spacing w:after="0"/>
        <w:rPr>
          <w:rFonts w:cs="Arial"/>
          <w:szCs w:val="24"/>
          <w:lang w:val="en"/>
        </w:rPr>
      </w:pPr>
    </w:p>
    <w:p w14:paraId="41C54C36" w14:textId="491EB6FC" w:rsidR="00B0475A" w:rsidRPr="00911B7F" w:rsidRDefault="009502A1" w:rsidP="00911B7F">
      <w:pPr>
        <w:spacing w:after="0"/>
        <w:rPr>
          <w:rFonts w:cs="Arial"/>
          <w:szCs w:val="24"/>
        </w:rPr>
      </w:pPr>
      <w:r w:rsidRPr="00911B7F">
        <w:rPr>
          <w:rFonts w:cs="Arial"/>
          <w:szCs w:val="24"/>
          <w:lang w:val="en"/>
        </w:rPr>
        <w:t xml:space="preserve">Hubs are funded through </w:t>
      </w:r>
      <w:r w:rsidR="0001102F" w:rsidRPr="00911B7F">
        <w:rPr>
          <w:rFonts w:cs="Arial"/>
          <w:szCs w:val="24"/>
          <w:lang w:val="en"/>
        </w:rPr>
        <w:t xml:space="preserve">formal </w:t>
      </w:r>
      <w:r w:rsidRPr="00911B7F">
        <w:rPr>
          <w:rFonts w:cs="Arial"/>
          <w:szCs w:val="24"/>
          <w:lang w:val="en"/>
        </w:rPr>
        <w:t>funding agreements with Arts Council England</w:t>
      </w:r>
      <w:r w:rsidR="0001102F" w:rsidRPr="00911B7F">
        <w:rPr>
          <w:rFonts w:cs="Arial"/>
          <w:szCs w:val="24"/>
          <w:lang w:val="en"/>
        </w:rPr>
        <w:t>.</w:t>
      </w:r>
      <w:r w:rsidRPr="00911B7F">
        <w:rPr>
          <w:rFonts w:cs="Arial"/>
          <w:szCs w:val="24"/>
          <w:lang w:val="en"/>
        </w:rPr>
        <w:t xml:space="preserve"> The total amount of Hub funding from the Department for Education in the 2018-19 financial year is £75 million. Each Hub lead </w:t>
      </w:r>
      <w:proofErr w:type="spellStart"/>
      <w:r w:rsidRPr="00911B7F">
        <w:rPr>
          <w:rFonts w:cs="Arial"/>
          <w:szCs w:val="24"/>
          <w:lang w:val="en"/>
        </w:rPr>
        <w:t>organisation</w:t>
      </w:r>
      <w:proofErr w:type="spellEnd"/>
      <w:r w:rsidRPr="00911B7F">
        <w:rPr>
          <w:rFonts w:cs="Arial"/>
          <w:szCs w:val="24"/>
          <w:lang w:val="en"/>
        </w:rPr>
        <w:t xml:space="preserve"> receive</w:t>
      </w:r>
      <w:r w:rsidR="0001102F" w:rsidRPr="00911B7F">
        <w:rPr>
          <w:rFonts w:cs="Arial"/>
          <w:szCs w:val="24"/>
          <w:lang w:val="en"/>
        </w:rPr>
        <w:t>s</w:t>
      </w:r>
      <w:r w:rsidRPr="00911B7F">
        <w:rPr>
          <w:rFonts w:cs="Arial"/>
          <w:szCs w:val="24"/>
          <w:lang w:val="en"/>
        </w:rPr>
        <w:t xml:space="preserve"> a proportion of the overall funding amount based on their share of the overall number of eligible pupils in their local authority area(s). 90% of the funding is distributed based on each local authority’s share of the total number of pupils registered on roll and the remaining 10% is distributed based on their share of the numbers of pupils eligible for Free School Meals (FSM).</w:t>
      </w:r>
    </w:p>
    <w:p w14:paraId="42CAF063" w14:textId="77777777" w:rsidR="00267A76" w:rsidRPr="00911B7F" w:rsidRDefault="00267A76" w:rsidP="00911B7F">
      <w:pPr>
        <w:spacing w:after="0"/>
        <w:rPr>
          <w:rFonts w:cs="Arial"/>
          <w:b/>
          <w:szCs w:val="24"/>
        </w:rPr>
      </w:pPr>
    </w:p>
    <w:p w14:paraId="7597C166" w14:textId="183EF85E" w:rsidR="000362B1" w:rsidRPr="00911B7F" w:rsidRDefault="000362B1" w:rsidP="00911B7F">
      <w:pPr>
        <w:spacing w:after="0"/>
        <w:rPr>
          <w:rFonts w:cs="Arial"/>
          <w:b/>
          <w:szCs w:val="24"/>
        </w:rPr>
      </w:pPr>
      <w:r w:rsidRPr="00911B7F">
        <w:rPr>
          <w:rFonts w:cs="Arial"/>
          <w:b/>
          <w:szCs w:val="24"/>
        </w:rPr>
        <w:t>THE MUSIC HUB IN SOMERSET</w:t>
      </w:r>
    </w:p>
    <w:p w14:paraId="5BFF6808" w14:textId="77777777" w:rsidR="00911B7F" w:rsidRDefault="00911B7F" w:rsidP="00911B7F">
      <w:pPr>
        <w:spacing w:after="0"/>
        <w:rPr>
          <w:rFonts w:cs="Arial"/>
          <w:szCs w:val="24"/>
        </w:rPr>
      </w:pPr>
    </w:p>
    <w:p w14:paraId="490999BF" w14:textId="46F5BA78" w:rsidR="00B0475A" w:rsidRPr="00911B7F" w:rsidRDefault="00B0475A" w:rsidP="00911B7F">
      <w:pPr>
        <w:spacing w:after="0"/>
        <w:rPr>
          <w:rFonts w:cs="Arial"/>
          <w:szCs w:val="24"/>
        </w:rPr>
      </w:pPr>
      <w:r w:rsidRPr="00911B7F">
        <w:rPr>
          <w:rFonts w:cs="Arial"/>
          <w:szCs w:val="24"/>
        </w:rPr>
        <w:t xml:space="preserve">Somerset’s Music Education Hub is called “Sound Foundation Somerset” </w:t>
      </w:r>
      <w:r w:rsidR="00D55BF2" w:rsidRPr="00911B7F">
        <w:rPr>
          <w:rFonts w:cs="Arial"/>
          <w:szCs w:val="24"/>
        </w:rPr>
        <w:t xml:space="preserve">(SFS) </w:t>
      </w:r>
      <w:r w:rsidRPr="00911B7F">
        <w:rPr>
          <w:rFonts w:cs="Arial"/>
          <w:szCs w:val="24"/>
        </w:rPr>
        <w:t>and is one of 123 music education hubs in existence nationally. It is made up of number of partner organisations working collaboratively to provide inspirational, progressive and high</w:t>
      </w:r>
      <w:r w:rsidR="00C65C48" w:rsidRPr="00911B7F">
        <w:rPr>
          <w:rFonts w:cs="Arial"/>
          <w:szCs w:val="24"/>
        </w:rPr>
        <w:t>-</w:t>
      </w:r>
      <w:r w:rsidRPr="00911B7F">
        <w:rPr>
          <w:rFonts w:cs="Arial"/>
          <w:szCs w:val="24"/>
        </w:rPr>
        <w:t xml:space="preserve">quality music education and experiences.  Our </w:t>
      </w:r>
      <w:r w:rsidR="00C65C48" w:rsidRPr="00911B7F">
        <w:rPr>
          <w:rFonts w:cs="Arial"/>
          <w:szCs w:val="24"/>
        </w:rPr>
        <w:t xml:space="preserve">main partner delivering </w:t>
      </w:r>
      <w:proofErr w:type="gramStart"/>
      <w:r w:rsidR="00C65C48" w:rsidRPr="00911B7F">
        <w:rPr>
          <w:rFonts w:cs="Arial"/>
          <w:szCs w:val="24"/>
        </w:rPr>
        <w:t>all of</w:t>
      </w:r>
      <w:proofErr w:type="gramEnd"/>
      <w:r w:rsidR="00C65C48" w:rsidRPr="00911B7F">
        <w:rPr>
          <w:rFonts w:cs="Arial"/>
          <w:szCs w:val="24"/>
        </w:rPr>
        <w:t xml:space="preserve"> the core and extension roles is </w:t>
      </w:r>
      <w:r w:rsidRPr="00911B7F">
        <w:rPr>
          <w:rFonts w:cs="Arial"/>
          <w:szCs w:val="24"/>
        </w:rPr>
        <w:t>Somerset Music</w:t>
      </w:r>
      <w:r w:rsidR="00C65C48" w:rsidRPr="00911B7F">
        <w:rPr>
          <w:rFonts w:cs="Arial"/>
          <w:szCs w:val="24"/>
        </w:rPr>
        <w:t xml:space="preserve">, the music service for Somerset.  </w:t>
      </w:r>
    </w:p>
    <w:p w14:paraId="090C08C2" w14:textId="77777777" w:rsidR="00FC6B3F" w:rsidRDefault="00BC56D2" w:rsidP="00911B7F">
      <w:pPr>
        <w:spacing w:after="0"/>
        <w:rPr>
          <w:rFonts w:cs="Arial"/>
          <w:szCs w:val="24"/>
        </w:rPr>
      </w:pPr>
      <w:r w:rsidRPr="00911B7F">
        <w:rPr>
          <w:rFonts w:cs="Arial"/>
          <w:szCs w:val="24"/>
        </w:rPr>
        <w:t xml:space="preserve">Sound Foundation Somerset considers its partnership working a strength and further partnerships continue to emerge and grow steadily year on year.  </w:t>
      </w:r>
    </w:p>
    <w:p w14:paraId="5396DBFE" w14:textId="3B7816B6" w:rsidR="00BC56D2" w:rsidRPr="00911B7F" w:rsidRDefault="00BC56D2" w:rsidP="00911B7F">
      <w:pPr>
        <w:spacing w:after="0"/>
        <w:rPr>
          <w:rFonts w:cs="Arial"/>
          <w:szCs w:val="24"/>
        </w:rPr>
      </w:pPr>
      <w:r w:rsidRPr="00911B7F">
        <w:rPr>
          <w:rFonts w:cs="Arial"/>
          <w:szCs w:val="24"/>
        </w:rPr>
        <w:lastRenderedPageBreak/>
        <w:t xml:space="preserve">Other long-standing delivery partners are Actiontrack, Bournemouth Symphony Orchestra; Centre of Young Musicians (CYM and an outreach of the Guildhall School of Music and Drama); Jackdaws; SPAEDA, the South West Music School, the Taunton Music Trust, Charanga, and Sing-Up. From September 2018, new partnerships were made with Live Music Now, </w:t>
      </w:r>
      <w:proofErr w:type="gramStart"/>
      <w:r w:rsidRPr="00911B7F">
        <w:rPr>
          <w:rFonts w:cs="Arial"/>
          <w:szCs w:val="24"/>
        </w:rPr>
        <w:t>Open Up</w:t>
      </w:r>
      <w:proofErr w:type="gramEnd"/>
      <w:r w:rsidRPr="00911B7F">
        <w:rPr>
          <w:rFonts w:cs="Arial"/>
          <w:szCs w:val="24"/>
        </w:rPr>
        <w:t xml:space="preserve"> Music, Young Somerset (formerly Somerset Rural Youth Network), Bath </w:t>
      </w:r>
      <w:proofErr w:type="spellStart"/>
      <w:r w:rsidRPr="00911B7F">
        <w:rPr>
          <w:rFonts w:cs="Arial"/>
          <w:szCs w:val="24"/>
        </w:rPr>
        <w:t>Philharmonia</w:t>
      </w:r>
      <w:proofErr w:type="spellEnd"/>
      <w:r w:rsidRPr="00911B7F">
        <w:rPr>
          <w:rFonts w:cs="Arial"/>
          <w:szCs w:val="24"/>
        </w:rPr>
        <w:t>, NYMAZ and the BBC Concert Orchestra for its 10 Pieces Programme.</w:t>
      </w:r>
    </w:p>
    <w:p w14:paraId="0A5C2966" w14:textId="680D03D8" w:rsidR="00BC56D2" w:rsidRPr="00911B7F" w:rsidRDefault="00CA2DAB" w:rsidP="00911B7F">
      <w:pPr>
        <w:spacing w:after="0"/>
        <w:rPr>
          <w:rFonts w:cs="Arial"/>
          <w:szCs w:val="24"/>
        </w:rPr>
      </w:pPr>
      <w:r w:rsidRPr="00911B7F">
        <w:rPr>
          <w:rFonts w:cs="Arial"/>
          <w:szCs w:val="24"/>
        </w:rPr>
        <w:t xml:space="preserve">SFS </w:t>
      </w:r>
      <w:r w:rsidR="00D55BF2" w:rsidRPr="00911B7F">
        <w:rPr>
          <w:rFonts w:cs="Arial"/>
          <w:szCs w:val="24"/>
        </w:rPr>
        <w:t xml:space="preserve">also has a close partnership </w:t>
      </w:r>
      <w:r w:rsidR="00BC56D2" w:rsidRPr="00911B7F">
        <w:rPr>
          <w:rFonts w:cs="Arial"/>
          <w:szCs w:val="24"/>
        </w:rPr>
        <w:t>the 3 consortium members of the Arts Education Network, “</w:t>
      </w:r>
      <w:proofErr w:type="spellStart"/>
      <w:r w:rsidR="00BC56D2" w:rsidRPr="00911B7F">
        <w:rPr>
          <w:rFonts w:cs="Arial"/>
          <w:szCs w:val="24"/>
        </w:rPr>
        <w:t>InspirED</w:t>
      </w:r>
      <w:proofErr w:type="spellEnd"/>
      <w:r w:rsidR="00BC56D2" w:rsidRPr="00911B7F">
        <w:rPr>
          <w:rFonts w:cs="Arial"/>
          <w:szCs w:val="24"/>
        </w:rPr>
        <w:t xml:space="preserve">”: Somerset Film, Take Art and Somerset Art Works </w:t>
      </w:r>
      <w:r w:rsidR="00D55BF2" w:rsidRPr="00911B7F">
        <w:rPr>
          <w:rFonts w:cs="Arial"/>
          <w:szCs w:val="24"/>
        </w:rPr>
        <w:t>which are all National Portfolio Organisations.</w:t>
      </w:r>
    </w:p>
    <w:p w14:paraId="7CBCF8F0" w14:textId="77777777" w:rsidR="0093417B" w:rsidRDefault="0093417B" w:rsidP="00911B7F">
      <w:pPr>
        <w:spacing w:after="0"/>
        <w:rPr>
          <w:rFonts w:cs="Arial"/>
          <w:szCs w:val="24"/>
        </w:rPr>
      </w:pPr>
    </w:p>
    <w:p w14:paraId="717AE034" w14:textId="387507E7" w:rsidR="0028092B" w:rsidRPr="00911B7F" w:rsidRDefault="008D50D1" w:rsidP="00911B7F">
      <w:pPr>
        <w:spacing w:after="0"/>
        <w:rPr>
          <w:rFonts w:cs="Arial"/>
          <w:szCs w:val="24"/>
        </w:rPr>
      </w:pPr>
      <w:r w:rsidRPr="00911B7F">
        <w:rPr>
          <w:rFonts w:cs="Arial"/>
          <w:szCs w:val="24"/>
        </w:rPr>
        <w:t xml:space="preserve">Sound Foundation Somerset has always adopted a commissioning approach to service delivery. The SFS Management Group agrees the budget apportionment across all core, extension roles and back office costs, and a service requirement/specification is then drawn up for each against which delivery partners are requested </w:t>
      </w:r>
      <w:r w:rsidR="00A02F32" w:rsidRPr="00911B7F">
        <w:rPr>
          <w:rFonts w:cs="Arial"/>
          <w:szCs w:val="24"/>
        </w:rPr>
        <w:t>to bid. Awards of grant are made as detailed within formal funding agreements with each partner.</w:t>
      </w:r>
    </w:p>
    <w:p w14:paraId="08CCBC12" w14:textId="77777777" w:rsidR="008D50D1" w:rsidRPr="00911B7F" w:rsidRDefault="008D50D1" w:rsidP="00911B7F">
      <w:pPr>
        <w:spacing w:after="0"/>
        <w:rPr>
          <w:rFonts w:cs="Arial"/>
          <w:b/>
          <w:szCs w:val="24"/>
        </w:rPr>
      </w:pPr>
    </w:p>
    <w:p w14:paraId="4B9FC7B1" w14:textId="070FEB91" w:rsidR="00370CD2" w:rsidRPr="00911B7F" w:rsidRDefault="00370CD2" w:rsidP="00911B7F">
      <w:pPr>
        <w:spacing w:after="0"/>
        <w:rPr>
          <w:rFonts w:cs="Arial"/>
          <w:b/>
          <w:szCs w:val="24"/>
        </w:rPr>
      </w:pPr>
      <w:r w:rsidRPr="00911B7F">
        <w:rPr>
          <w:rFonts w:cs="Arial"/>
          <w:b/>
          <w:szCs w:val="24"/>
        </w:rPr>
        <w:t>THE CORE AND EXTENSION ROLES</w:t>
      </w:r>
    </w:p>
    <w:p w14:paraId="4276144E" w14:textId="77777777" w:rsidR="00911B7F" w:rsidRDefault="00911B7F" w:rsidP="00911B7F">
      <w:pPr>
        <w:spacing w:after="0" w:line="240" w:lineRule="auto"/>
        <w:rPr>
          <w:rFonts w:eastAsia="Times New Roman" w:cs="Arial"/>
          <w:szCs w:val="24"/>
        </w:rPr>
      </w:pPr>
    </w:p>
    <w:p w14:paraId="6F6ACC88" w14:textId="5F89BF20" w:rsidR="00AB3A74" w:rsidRPr="00911B7F" w:rsidRDefault="00AB3A74" w:rsidP="00911B7F">
      <w:pPr>
        <w:spacing w:after="0" w:line="240" w:lineRule="auto"/>
        <w:rPr>
          <w:rFonts w:eastAsia="Times New Roman" w:cs="Arial"/>
          <w:szCs w:val="24"/>
        </w:rPr>
      </w:pPr>
      <w:r w:rsidRPr="00911B7F">
        <w:rPr>
          <w:rFonts w:eastAsia="Times New Roman" w:cs="Arial"/>
          <w:szCs w:val="24"/>
        </w:rPr>
        <w:t>The Core Roles:</w:t>
      </w:r>
    </w:p>
    <w:p w14:paraId="6F357178" w14:textId="77777777" w:rsidR="00AB3A74" w:rsidRPr="00911B7F" w:rsidRDefault="00AB3A74" w:rsidP="00911B7F">
      <w:pPr>
        <w:spacing w:after="0" w:line="240" w:lineRule="auto"/>
        <w:rPr>
          <w:rFonts w:eastAsia="Times New Roman" w:cs="Arial"/>
          <w:szCs w:val="24"/>
        </w:rPr>
      </w:pPr>
    </w:p>
    <w:p w14:paraId="704EF05E" w14:textId="574D7A63" w:rsidR="00AB3A74" w:rsidRPr="00911B7F" w:rsidRDefault="00AB3A74" w:rsidP="00911B7F">
      <w:pPr>
        <w:numPr>
          <w:ilvl w:val="0"/>
          <w:numId w:val="4"/>
        </w:numPr>
        <w:spacing w:after="0" w:line="320" w:lineRule="atLeast"/>
        <w:rPr>
          <w:rFonts w:eastAsia="Times New Roman" w:cs="Arial"/>
          <w:szCs w:val="24"/>
          <w:lang w:eastAsia="en-GB"/>
        </w:rPr>
      </w:pPr>
      <w:r w:rsidRPr="00911B7F">
        <w:rPr>
          <w:rFonts w:eastAsia="Times New Roman" w:cs="Arial"/>
          <w:szCs w:val="24"/>
          <w:lang w:eastAsia="en-GB"/>
        </w:rPr>
        <w:t xml:space="preserve">Core Role A: To ensure that every child aged 5 – 18 </w:t>
      </w:r>
      <w:proofErr w:type="gramStart"/>
      <w:r w:rsidRPr="00911B7F">
        <w:rPr>
          <w:rFonts w:eastAsia="Times New Roman" w:cs="Arial"/>
          <w:szCs w:val="24"/>
          <w:lang w:eastAsia="en-GB"/>
        </w:rPr>
        <w:t>has the opportunity to</w:t>
      </w:r>
      <w:proofErr w:type="gramEnd"/>
      <w:r w:rsidRPr="00911B7F">
        <w:rPr>
          <w:rFonts w:eastAsia="Times New Roman" w:cs="Arial"/>
          <w:szCs w:val="24"/>
          <w:lang w:eastAsia="en-GB"/>
        </w:rPr>
        <w:t xml:space="preserve"> learn a musical instrument (other than voice) through whole-week class ensemble teaching programmes, with weekly tuition on the same instrument for ideally a year (but for a minimum of a term);</w:t>
      </w:r>
    </w:p>
    <w:p w14:paraId="1F683605" w14:textId="4BE77B3B" w:rsidR="00AB3A74" w:rsidRPr="00911B7F" w:rsidRDefault="00AB3A74" w:rsidP="00911B7F">
      <w:pPr>
        <w:numPr>
          <w:ilvl w:val="0"/>
          <w:numId w:val="4"/>
        </w:numPr>
        <w:spacing w:after="0" w:line="320" w:lineRule="atLeast"/>
        <w:rPr>
          <w:rFonts w:eastAsia="Times New Roman" w:cs="Arial"/>
          <w:szCs w:val="24"/>
          <w:lang w:eastAsia="en-GB"/>
        </w:rPr>
      </w:pPr>
      <w:r w:rsidRPr="00911B7F">
        <w:rPr>
          <w:rFonts w:eastAsia="Times New Roman" w:cs="Arial"/>
          <w:szCs w:val="24"/>
          <w:lang w:eastAsia="en-GB"/>
        </w:rPr>
        <w:t>Core Role B: To provide opportunities to play in ensembles and to perform from an early stage;</w:t>
      </w:r>
    </w:p>
    <w:p w14:paraId="7BED18A2" w14:textId="2E57EB9B" w:rsidR="00AB3A74" w:rsidRPr="00911B7F" w:rsidRDefault="00AB3A74" w:rsidP="00911B7F">
      <w:pPr>
        <w:numPr>
          <w:ilvl w:val="0"/>
          <w:numId w:val="4"/>
        </w:numPr>
        <w:spacing w:after="0" w:line="320" w:lineRule="atLeast"/>
        <w:rPr>
          <w:rFonts w:eastAsia="Times New Roman" w:cs="Arial"/>
          <w:szCs w:val="24"/>
          <w:lang w:eastAsia="en-GB"/>
        </w:rPr>
      </w:pPr>
      <w:r w:rsidRPr="00911B7F">
        <w:rPr>
          <w:rFonts w:eastAsia="Times New Roman" w:cs="Arial"/>
          <w:szCs w:val="24"/>
          <w:lang w:eastAsia="en-GB"/>
        </w:rPr>
        <w:t>Core Role C: To ensure that clear progression routes are available and affordable to all young people;</w:t>
      </w:r>
    </w:p>
    <w:p w14:paraId="51D6EF3E" w14:textId="7040E191" w:rsidR="00AB3A74" w:rsidRPr="00911B7F" w:rsidRDefault="00AB3A74" w:rsidP="00911B7F">
      <w:pPr>
        <w:numPr>
          <w:ilvl w:val="0"/>
          <w:numId w:val="4"/>
        </w:numPr>
        <w:spacing w:after="0" w:line="320" w:lineRule="atLeast"/>
        <w:rPr>
          <w:rFonts w:eastAsia="Times New Roman" w:cs="Arial"/>
          <w:szCs w:val="24"/>
          <w:lang w:eastAsia="en-GB"/>
        </w:rPr>
      </w:pPr>
      <w:r w:rsidRPr="00911B7F">
        <w:rPr>
          <w:rFonts w:eastAsia="Times New Roman" w:cs="Arial"/>
          <w:szCs w:val="24"/>
          <w:lang w:eastAsia="en-GB"/>
        </w:rPr>
        <w:t xml:space="preserve">Core Role D: To develop a singing strategy to ensure that every pupil sings </w:t>
      </w:r>
      <w:proofErr w:type="gramStart"/>
      <w:r w:rsidRPr="00911B7F">
        <w:rPr>
          <w:rFonts w:eastAsia="Times New Roman" w:cs="Arial"/>
          <w:szCs w:val="24"/>
          <w:lang w:eastAsia="en-GB"/>
        </w:rPr>
        <w:t>regularly</w:t>
      </w:r>
      <w:proofErr w:type="gramEnd"/>
      <w:r w:rsidRPr="00911B7F">
        <w:rPr>
          <w:rFonts w:eastAsia="Times New Roman" w:cs="Arial"/>
          <w:szCs w:val="24"/>
          <w:lang w:eastAsia="en-GB"/>
        </w:rPr>
        <w:t xml:space="preserve"> and that choirs and other vocal ensembles are available in the area.</w:t>
      </w:r>
    </w:p>
    <w:p w14:paraId="3DA5090C" w14:textId="77777777" w:rsidR="00AB3A74" w:rsidRPr="00911B7F" w:rsidRDefault="00AB3A74" w:rsidP="00911B7F">
      <w:pPr>
        <w:spacing w:after="0" w:line="320" w:lineRule="atLeast"/>
        <w:rPr>
          <w:rFonts w:eastAsia="Times New Roman" w:cs="Arial"/>
          <w:szCs w:val="24"/>
          <w:lang w:eastAsia="en-GB"/>
        </w:rPr>
      </w:pPr>
    </w:p>
    <w:p w14:paraId="0F470C18" w14:textId="77777777" w:rsidR="00AB3A74" w:rsidRPr="00911B7F" w:rsidRDefault="00AB3A74" w:rsidP="00911B7F">
      <w:pPr>
        <w:spacing w:after="0" w:line="320" w:lineRule="atLeast"/>
        <w:rPr>
          <w:rFonts w:eastAsia="Times New Roman" w:cs="Arial"/>
          <w:szCs w:val="24"/>
          <w:lang w:eastAsia="en-GB"/>
        </w:rPr>
      </w:pPr>
      <w:r w:rsidRPr="00911B7F">
        <w:rPr>
          <w:rFonts w:eastAsia="Times New Roman" w:cs="Arial"/>
          <w:szCs w:val="24"/>
          <w:lang w:eastAsia="en-GB"/>
        </w:rPr>
        <w:t>The Extension Roles:</w:t>
      </w:r>
    </w:p>
    <w:p w14:paraId="33A7A858" w14:textId="77777777" w:rsidR="00AB3A74" w:rsidRPr="00911B7F" w:rsidRDefault="00AB3A74" w:rsidP="00911B7F">
      <w:pPr>
        <w:spacing w:after="0" w:line="320" w:lineRule="atLeast"/>
        <w:rPr>
          <w:rFonts w:eastAsia="Times New Roman" w:cs="Arial"/>
          <w:szCs w:val="24"/>
          <w:lang w:eastAsia="en-GB"/>
        </w:rPr>
      </w:pPr>
    </w:p>
    <w:p w14:paraId="41F21794" w14:textId="25EA55FB" w:rsidR="00AB3A74" w:rsidRPr="00911B7F" w:rsidRDefault="00AB3A74" w:rsidP="00911B7F">
      <w:pPr>
        <w:numPr>
          <w:ilvl w:val="0"/>
          <w:numId w:val="5"/>
        </w:numPr>
        <w:spacing w:after="0" w:line="320" w:lineRule="atLeast"/>
        <w:rPr>
          <w:rFonts w:eastAsia="Times New Roman" w:cs="Arial"/>
          <w:color w:val="000000"/>
          <w:szCs w:val="24"/>
          <w:lang w:eastAsia="en-GB"/>
        </w:rPr>
      </w:pPr>
      <w:r w:rsidRPr="00911B7F">
        <w:rPr>
          <w:rFonts w:eastAsia="Times New Roman" w:cs="Arial"/>
          <w:color w:val="000000"/>
          <w:szCs w:val="24"/>
          <w:lang w:eastAsia="en-GB"/>
        </w:rPr>
        <w:t>Ext Role 1: To offer Continuous Professional Development (CPD) to school staff, particularly in supporting schools to deliver music in the curriculum;</w:t>
      </w:r>
    </w:p>
    <w:p w14:paraId="7F7F59E9" w14:textId="4B523394" w:rsidR="00AB3A74" w:rsidRPr="00911B7F" w:rsidRDefault="00AB3A74" w:rsidP="00911B7F">
      <w:pPr>
        <w:numPr>
          <w:ilvl w:val="0"/>
          <w:numId w:val="5"/>
        </w:numPr>
        <w:spacing w:after="0" w:line="320" w:lineRule="atLeast"/>
        <w:rPr>
          <w:rFonts w:eastAsia="Times New Roman" w:cs="Arial"/>
          <w:color w:val="000000"/>
          <w:szCs w:val="24"/>
          <w:lang w:eastAsia="en-GB"/>
        </w:rPr>
      </w:pPr>
      <w:r w:rsidRPr="00911B7F">
        <w:rPr>
          <w:rFonts w:eastAsia="Times New Roman" w:cs="Arial"/>
          <w:szCs w:val="24"/>
          <w:lang w:eastAsia="en-GB"/>
        </w:rPr>
        <w:t>Ext Role 2: To provide an instrument loan service, with discounts or free provision for those on low incomes.</w:t>
      </w:r>
    </w:p>
    <w:p w14:paraId="53A934FB" w14:textId="45615EA8" w:rsidR="00AB3A74" w:rsidRPr="00911B7F" w:rsidRDefault="00AB3A74" w:rsidP="00911B7F">
      <w:pPr>
        <w:numPr>
          <w:ilvl w:val="0"/>
          <w:numId w:val="5"/>
        </w:numPr>
        <w:spacing w:after="0" w:line="320" w:lineRule="atLeast"/>
        <w:rPr>
          <w:rFonts w:eastAsia="Times New Roman" w:cs="Arial"/>
          <w:color w:val="000000"/>
          <w:szCs w:val="24"/>
          <w:lang w:eastAsia="en-GB"/>
        </w:rPr>
      </w:pPr>
      <w:r w:rsidRPr="00911B7F">
        <w:rPr>
          <w:rFonts w:eastAsia="Times New Roman" w:cs="Arial"/>
          <w:szCs w:val="24"/>
          <w:lang w:eastAsia="en-GB"/>
        </w:rPr>
        <w:t xml:space="preserve">Ext Role 3: To provide access to large scale and/or </w:t>
      </w:r>
      <w:proofErr w:type="gramStart"/>
      <w:r w:rsidRPr="00911B7F">
        <w:rPr>
          <w:rFonts w:eastAsia="Times New Roman" w:cs="Arial"/>
          <w:szCs w:val="24"/>
          <w:lang w:eastAsia="en-GB"/>
        </w:rPr>
        <w:t>high quality</w:t>
      </w:r>
      <w:proofErr w:type="gramEnd"/>
      <w:r w:rsidRPr="00911B7F">
        <w:rPr>
          <w:rFonts w:eastAsia="Times New Roman" w:cs="Arial"/>
          <w:szCs w:val="24"/>
          <w:lang w:eastAsia="en-GB"/>
        </w:rPr>
        <w:t xml:space="preserve"> music experiences for pupils, working with professional musicians and/or venues.</w:t>
      </w:r>
    </w:p>
    <w:p w14:paraId="55F4F0C5" w14:textId="77777777" w:rsidR="00B33EC2" w:rsidRPr="00911B7F" w:rsidRDefault="00B33EC2" w:rsidP="00911B7F">
      <w:pPr>
        <w:spacing w:after="0"/>
        <w:rPr>
          <w:rFonts w:cs="Arial"/>
          <w:b/>
          <w:szCs w:val="24"/>
        </w:rPr>
      </w:pPr>
    </w:p>
    <w:p w14:paraId="32DE548E" w14:textId="71266FD2" w:rsidR="00863EEA" w:rsidRPr="00911B7F" w:rsidRDefault="00863EEA" w:rsidP="00911B7F">
      <w:pPr>
        <w:spacing w:after="0"/>
        <w:rPr>
          <w:rFonts w:cs="Arial"/>
          <w:b/>
          <w:szCs w:val="24"/>
        </w:rPr>
      </w:pPr>
      <w:r w:rsidRPr="00911B7F">
        <w:rPr>
          <w:rFonts w:cs="Arial"/>
          <w:b/>
          <w:szCs w:val="24"/>
        </w:rPr>
        <w:t>MISSION STATEMENT &amp; VISION</w:t>
      </w:r>
    </w:p>
    <w:p w14:paraId="0126D0A3" w14:textId="77777777" w:rsidR="00911B7F" w:rsidRDefault="00911B7F" w:rsidP="00911B7F">
      <w:pPr>
        <w:spacing w:after="0"/>
        <w:rPr>
          <w:rFonts w:cs="Arial"/>
          <w:szCs w:val="24"/>
        </w:rPr>
      </w:pPr>
    </w:p>
    <w:p w14:paraId="2ECACE87" w14:textId="5CF01371" w:rsidR="00863EEA" w:rsidRPr="00911B7F" w:rsidRDefault="00863EEA" w:rsidP="00911B7F">
      <w:pPr>
        <w:spacing w:after="0"/>
        <w:rPr>
          <w:rFonts w:cs="Arial"/>
          <w:szCs w:val="24"/>
        </w:rPr>
      </w:pPr>
      <w:r w:rsidRPr="00911B7F">
        <w:rPr>
          <w:rFonts w:cs="Arial"/>
          <w:szCs w:val="24"/>
        </w:rPr>
        <w:t xml:space="preserve">Sound Foundation Somerset’s mission statement is: </w:t>
      </w:r>
    </w:p>
    <w:p w14:paraId="2C1A9EBB" w14:textId="4FFCC2D2" w:rsidR="00863EEA" w:rsidRPr="00911B7F" w:rsidRDefault="00863EEA" w:rsidP="00911B7F">
      <w:pPr>
        <w:spacing w:after="0"/>
        <w:jc w:val="center"/>
        <w:rPr>
          <w:rFonts w:cs="Arial"/>
          <w:i/>
          <w:szCs w:val="24"/>
        </w:rPr>
      </w:pPr>
      <w:r w:rsidRPr="00911B7F">
        <w:rPr>
          <w:rFonts w:cs="Arial"/>
          <w:i/>
          <w:szCs w:val="24"/>
        </w:rPr>
        <w:lastRenderedPageBreak/>
        <w:t xml:space="preserve">“Inspirational, progressive and </w:t>
      </w:r>
      <w:proofErr w:type="gramStart"/>
      <w:r w:rsidRPr="00911B7F">
        <w:rPr>
          <w:rFonts w:cs="Arial"/>
          <w:i/>
          <w:szCs w:val="24"/>
        </w:rPr>
        <w:t>high quality</w:t>
      </w:r>
      <w:proofErr w:type="gramEnd"/>
      <w:r w:rsidRPr="00911B7F">
        <w:rPr>
          <w:rFonts w:cs="Arial"/>
          <w:i/>
          <w:szCs w:val="24"/>
        </w:rPr>
        <w:t xml:space="preserve"> music provision for all children and young people in Somerset”.</w:t>
      </w:r>
    </w:p>
    <w:p w14:paraId="7240FA8C" w14:textId="59C71390" w:rsidR="00863EEA" w:rsidRPr="00911B7F" w:rsidRDefault="00863EEA" w:rsidP="00911B7F">
      <w:pPr>
        <w:spacing w:after="0"/>
        <w:rPr>
          <w:rFonts w:cs="Arial"/>
          <w:szCs w:val="24"/>
        </w:rPr>
      </w:pPr>
      <w:r w:rsidRPr="00911B7F">
        <w:rPr>
          <w:rFonts w:cs="Arial"/>
          <w:szCs w:val="24"/>
        </w:rPr>
        <w:t>This is at the very heart of our work.  Placing children and young people at the centre of our aspirations, Sound Foundation Somerset draws on extensive local partnerships to embed educational excellence through diverse delivery of a wide range of styles and genres.</w:t>
      </w:r>
    </w:p>
    <w:p w14:paraId="1429EFBD" w14:textId="77777777" w:rsidR="00EA0102" w:rsidRDefault="00EA0102" w:rsidP="00911B7F">
      <w:pPr>
        <w:spacing w:after="0"/>
        <w:rPr>
          <w:rFonts w:cs="Arial"/>
          <w:szCs w:val="24"/>
        </w:rPr>
      </w:pPr>
    </w:p>
    <w:p w14:paraId="26DED1A9" w14:textId="7513D045" w:rsidR="00B33EC2" w:rsidRPr="00911B7F" w:rsidRDefault="00863EEA" w:rsidP="00911B7F">
      <w:pPr>
        <w:spacing w:after="0"/>
        <w:rPr>
          <w:rFonts w:cs="Arial"/>
          <w:szCs w:val="24"/>
        </w:rPr>
      </w:pPr>
      <w:r w:rsidRPr="00911B7F">
        <w:rPr>
          <w:rFonts w:cs="Arial"/>
          <w:szCs w:val="24"/>
        </w:rPr>
        <w:t xml:space="preserve">Our vision is that by 2021 Somerset will be nationally recognised for high quality music provision that meets the needs of all children and young people regardless of background.  </w:t>
      </w:r>
    </w:p>
    <w:p w14:paraId="3ED38D4D" w14:textId="77777777" w:rsidR="00383F38" w:rsidRPr="00911B7F" w:rsidRDefault="00383F38" w:rsidP="00911B7F">
      <w:pPr>
        <w:spacing w:after="0" w:line="240" w:lineRule="auto"/>
        <w:rPr>
          <w:rFonts w:eastAsia="Times New Roman" w:cs="Arial"/>
          <w:b/>
          <w:szCs w:val="24"/>
          <w:lang w:eastAsia="en-GB"/>
        </w:rPr>
      </w:pPr>
    </w:p>
    <w:p w14:paraId="7DD20E82" w14:textId="45B15340" w:rsidR="00383F38" w:rsidRPr="00911B7F" w:rsidRDefault="00383F38" w:rsidP="00911B7F">
      <w:pPr>
        <w:spacing w:after="0" w:line="240" w:lineRule="auto"/>
        <w:rPr>
          <w:rFonts w:eastAsia="Times New Roman" w:cs="Arial"/>
          <w:b/>
          <w:szCs w:val="24"/>
          <w:lang w:eastAsia="en-GB"/>
        </w:rPr>
      </w:pPr>
      <w:r w:rsidRPr="00911B7F">
        <w:rPr>
          <w:rFonts w:eastAsia="Times New Roman" w:cs="Arial"/>
          <w:b/>
          <w:szCs w:val="24"/>
          <w:lang w:eastAsia="en-GB"/>
        </w:rPr>
        <w:t>LOCAL CONTEXT</w:t>
      </w:r>
    </w:p>
    <w:p w14:paraId="1A82C2B6" w14:textId="77777777" w:rsidR="00383F38" w:rsidRPr="00911B7F" w:rsidRDefault="00383F38" w:rsidP="00911B7F">
      <w:pPr>
        <w:spacing w:after="0" w:line="240" w:lineRule="auto"/>
        <w:rPr>
          <w:rFonts w:eastAsia="Times New Roman" w:cs="Arial"/>
          <w:szCs w:val="24"/>
          <w:lang w:eastAsia="en-GB"/>
        </w:rPr>
      </w:pPr>
    </w:p>
    <w:p w14:paraId="6D821FCA" w14:textId="7E839F49"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Somerset covers 3,452 square kilometres and is home to roughly 10% of the south west's population.</w:t>
      </w:r>
    </w:p>
    <w:p w14:paraId="1309ABE3" w14:textId="77777777" w:rsidR="00EA0102" w:rsidRDefault="00EA0102" w:rsidP="00911B7F">
      <w:pPr>
        <w:spacing w:after="0" w:line="240" w:lineRule="auto"/>
        <w:rPr>
          <w:rFonts w:eastAsia="Times New Roman" w:cs="Arial"/>
          <w:szCs w:val="24"/>
          <w:lang w:eastAsia="en-GB"/>
        </w:rPr>
      </w:pPr>
    </w:p>
    <w:p w14:paraId="10359620" w14:textId="023A5634"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 xml:space="preserve">Divided into four districts (Mendip, Sedgemoor, South Somerset, and Somerset West and Taunton – not North Somerset or Bath and North East Somerset or BANES), the county is predominantly rural; 48% of the population lives in a rural area compared to the average of 18% in England.  Somerset has a population of around 555,000 (Source: Office for National Statistics, mid-year estimate 2017).  This is approximately 100,000 more than the population of Bristol in an area nearly 24 times larger.  </w:t>
      </w:r>
    </w:p>
    <w:p w14:paraId="17DBC136" w14:textId="77777777" w:rsidR="00EA0102" w:rsidRDefault="00EA0102" w:rsidP="00911B7F">
      <w:pPr>
        <w:spacing w:after="0" w:line="240" w:lineRule="auto"/>
        <w:rPr>
          <w:rFonts w:eastAsia="Times New Roman" w:cs="Arial"/>
          <w:szCs w:val="24"/>
          <w:lang w:eastAsia="en-GB"/>
        </w:rPr>
      </w:pPr>
    </w:p>
    <w:p w14:paraId="3EE56B4C" w14:textId="4DF05438"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 xml:space="preserve">There are two main arterial transport routes within the county (the M5 and A303) which give easy transport through the county but transport across the large geographical area, especially from east to west, is more difficult and time consuming.  </w:t>
      </w:r>
      <w:proofErr w:type="gramStart"/>
      <w:r w:rsidRPr="00383F38">
        <w:rPr>
          <w:rFonts w:eastAsia="Times New Roman" w:cs="Arial"/>
          <w:szCs w:val="24"/>
          <w:lang w:eastAsia="en-GB"/>
        </w:rPr>
        <w:t>As a result of</w:t>
      </w:r>
      <w:proofErr w:type="gramEnd"/>
      <w:r w:rsidRPr="00383F38">
        <w:rPr>
          <w:rFonts w:eastAsia="Times New Roman" w:cs="Arial"/>
          <w:szCs w:val="24"/>
          <w:lang w:eastAsia="en-GB"/>
        </w:rPr>
        <w:t xml:space="preserve"> the population distribution and transport difficulties, rural isolation can be a significant factor, particularly for children and young people and the disadvantaged.  (See Appendix 1 for map of Somerset).</w:t>
      </w:r>
    </w:p>
    <w:p w14:paraId="2159CDA0" w14:textId="7DFECAA2"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 xml:space="preserve"> </w:t>
      </w:r>
      <w:r w:rsidR="00A02F32" w:rsidRPr="00911B7F">
        <w:rPr>
          <w:rFonts w:eastAsia="Times New Roman" w:cs="Arial"/>
          <w:szCs w:val="24"/>
          <w:lang w:eastAsia="en-GB"/>
        </w:rPr>
        <w:t>T</w:t>
      </w:r>
      <w:r w:rsidRPr="00383F38">
        <w:rPr>
          <w:rFonts w:eastAsia="Times New Roman" w:cs="Arial"/>
          <w:szCs w:val="24"/>
          <w:lang w:eastAsia="en-GB"/>
        </w:rPr>
        <w:t>here are estimated to be 121,700 children and young people (aged 0-19) living in Somerset.  The birth rate in Somerset increased steadily between 2004 and 2011 and at its peak in 2011 there were 5,764 births, 665 more than the low of 5,099 in 2004.  This equates to 22 additional classes of children requiring reception places across Somerset in 2015 compared to 2008. Although the birth rate has been fluctuating since 2012, it remains higher than the period 2004 – 2007.</w:t>
      </w:r>
    </w:p>
    <w:p w14:paraId="0D32433B" w14:textId="77777777" w:rsidR="00383F38" w:rsidRPr="00383F38" w:rsidRDefault="00383F38" w:rsidP="00911B7F">
      <w:pPr>
        <w:spacing w:after="0" w:line="240" w:lineRule="auto"/>
        <w:rPr>
          <w:rFonts w:eastAsia="Times New Roman" w:cs="Arial"/>
          <w:szCs w:val="24"/>
          <w:lang w:eastAsia="en-GB"/>
        </w:rPr>
      </w:pPr>
    </w:p>
    <w:p w14:paraId="5C49D937"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At October 2018 there were 70,494 children educated in 267 state-funded schools and academies (including early years children in school run nursery classes).  9.8% of the school population is classified as belonging to an ethnic group other than White British.  11.7% of pupils are recorded as eligible for free school meals – up from 10.5% in 2016 and 6.8% of pupils have a first language other than English – up from 6.2% (Source: School Census Jan 2018). There were 517 children in care in Somerset as at April 2018.</w:t>
      </w:r>
    </w:p>
    <w:p w14:paraId="181F0852"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 xml:space="preserve"> </w:t>
      </w:r>
    </w:p>
    <w:p w14:paraId="7C9355A0" w14:textId="290BD60E" w:rsid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The breakdown of schools and colleges is as follows:</w:t>
      </w:r>
    </w:p>
    <w:p w14:paraId="461FB220" w14:textId="490143B3" w:rsidR="00FC6B3F" w:rsidRDefault="00FC6B3F" w:rsidP="00911B7F">
      <w:pPr>
        <w:spacing w:after="0" w:line="240" w:lineRule="auto"/>
        <w:rPr>
          <w:rFonts w:eastAsia="Times New Roman" w:cs="Arial"/>
          <w:szCs w:val="24"/>
          <w:lang w:eastAsia="en-GB"/>
        </w:rPr>
      </w:pPr>
    </w:p>
    <w:p w14:paraId="508F0E35" w14:textId="77777777" w:rsidR="00FC6B3F" w:rsidRPr="00383F38" w:rsidRDefault="00FC6B3F" w:rsidP="00911B7F">
      <w:pPr>
        <w:spacing w:after="0" w:line="240" w:lineRule="auto"/>
        <w:rPr>
          <w:rFonts w:eastAsia="Times New Roman" w:cs="Arial"/>
          <w:szCs w:val="24"/>
          <w:lang w:eastAsia="en-GB"/>
        </w:rPr>
      </w:pPr>
    </w:p>
    <w:p w14:paraId="3B48E61E" w14:textId="77777777" w:rsidR="00383F38" w:rsidRPr="00383F38" w:rsidRDefault="00383F38" w:rsidP="00911B7F">
      <w:pPr>
        <w:spacing w:after="0" w:line="240" w:lineRule="auto"/>
        <w:rPr>
          <w:rFonts w:eastAsia="Times New Roman" w:cs="Arial"/>
          <w:szCs w:val="24"/>
          <w:lang w:eastAsia="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73"/>
        <w:gridCol w:w="2427"/>
        <w:gridCol w:w="3000"/>
      </w:tblGrid>
      <w:tr w:rsidR="00383F38" w:rsidRPr="00911B7F" w14:paraId="09595F6F" w14:textId="77777777" w:rsidTr="00A75344">
        <w:trPr>
          <w:trHeight w:val="300"/>
        </w:trPr>
        <w:tc>
          <w:tcPr>
            <w:tcW w:w="3573" w:type="dxa"/>
            <w:tcBorders>
              <w:top w:val="double" w:sz="4" w:space="0" w:color="auto"/>
              <w:left w:val="double" w:sz="4" w:space="0" w:color="auto"/>
            </w:tcBorders>
            <w:shd w:val="clear" w:color="auto" w:fill="D9D9D9" w:themeFill="background1" w:themeFillShade="D9"/>
            <w:noWrap/>
          </w:tcPr>
          <w:p w14:paraId="76B0E4A3" w14:textId="77777777" w:rsidR="00383F38" w:rsidRPr="00383F38" w:rsidRDefault="00383F38" w:rsidP="00911B7F">
            <w:pPr>
              <w:spacing w:after="0" w:line="240" w:lineRule="auto"/>
              <w:jc w:val="center"/>
              <w:rPr>
                <w:rFonts w:eastAsia="Times New Roman" w:cs="Arial"/>
                <w:b/>
                <w:szCs w:val="24"/>
                <w:lang w:eastAsia="en-GB"/>
              </w:rPr>
            </w:pPr>
            <w:r w:rsidRPr="00383F38">
              <w:rPr>
                <w:rFonts w:eastAsia="Times New Roman" w:cs="Arial"/>
                <w:b/>
                <w:szCs w:val="24"/>
                <w:lang w:eastAsia="en-GB"/>
              </w:rPr>
              <w:lastRenderedPageBreak/>
              <w:t>Phase/Type</w:t>
            </w:r>
          </w:p>
        </w:tc>
        <w:tc>
          <w:tcPr>
            <w:tcW w:w="2427" w:type="dxa"/>
            <w:tcBorders>
              <w:top w:val="double" w:sz="4" w:space="0" w:color="auto"/>
            </w:tcBorders>
            <w:shd w:val="clear" w:color="auto" w:fill="D9D9D9" w:themeFill="background1" w:themeFillShade="D9"/>
          </w:tcPr>
          <w:p w14:paraId="7B4035F3" w14:textId="77777777" w:rsidR="00383F38" w:rsidRPr="00383F38" w:rsidRDefault="00383F38" w:rsidP="00911B7F">
            <w:pPr>
              <w:spacing w:after="0" w:line="240" w:lineRule="auto"/>
              <w:jc w:val="center"/>
              <w:rPr>
                <w:rFonts w:eastAsia="Times New Roman" w:cs="Arial"/>
                <w:b/>
                <w:bCs/>
                <w:szCs w:val="24"/>
                <w:lang w:eastAsia="en-GB"/>
              </w:rPr>
            </w:pPr>
            <w:r w:rsidRPr="00383F38">
              <w:rPr>
                <w:rFonts w:eastAsia="Times New Roman" w:cs="Arial"/>
                <w:b/>
                <w:bCs/>
                <w:szCs w:val="24"/>
                <w:lang w:eastAsia="en-GB"/>
              </w:rPr>
              <w:t>Total Number</w:t>
            </w:r>
          </w:p>
        </w:tc>
        <w:tc>
          <w:tcPr>
            <w:tcW w:w="3000" w:type="dxa"/>
            <w:tcBorders>
              <w:top w:val="double" w:sz="4" w:space="0" w:color="auto"/>
              <w:right w:val="double" w:sz="4" w:space="0" w:color="auto"/>
            </w:tcBorders>
            <w:shd w:val="clear" w:color="auto" w:fill="D9D9D9" w:themeFill="background1" w:themeFillShade="D9"/>
          </w:tcPr>
          <w:p w14:paraId="6962AB7A" w14:textId="77777777" w:rsidR="00383F38" w:rsidRPr="00383F38" w:rsidRDefault="00383F38" w:rsidP="00911B7F">
            <w:pPr>
              <w:spacing w:after="0" w:line="240" w:lineRule="auto"/>
              <w:jc w:val="center"/>
              <w:rPr>
                <w:rFonts w:eastAsia="Times New Roman" w:cs="Arial"/>
                <w:b/>
                <w:szCs w:val="24"/>
                <w:lang w:eastAsia="en-GB"/>
              </w:rPr>
            </w:pPr>
            <w:r w:rsidRPr="00383F38">
              <w:rPr>
                <w:rFonts w:eastAsia="Times New Roman" w:cs="Arial"/>
                <w:b/>
                <w:szCs w:val="24"/>
                <w:lang w:eastAsia="en-GB"/>
              </w:rPr>
              <w:t>No of Academies</w:t>
            </w:r>
          </w:p>
        </w:tc>
      </w:tr>
      <w:tr w:rsidR="00383F38" w:rsidRPr="00911B7F" w14:paraId="03BA16E6" w14:textId="77777777" w:rsidTr="00A75344">
        <w:trPr>
          <w:trHeight w:val="300"/>
        </w:trPr>
        <w:tc>
          <w:tcPr>
            <w:tcW w:w="9000" w:type="dxa"/>
            <w:gridSpan w:val="3"/>
            <w:tcBorders>
              <w:left w:val="double" w:sz="4" w:space="0" w:color="auto"/>
              <w:right w:val="double" w:sz="4" w:space="0" w:color="auto"/>
            </w:tcBorders>
            <w:shd w:val="clear" w:color="auto" w:fill="auto"/>
            <w:noWrap/>
          </w:tcPr>
          <w:p w14:paraId="44AEDF52"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szCs w:val="24"/>
                <w:lang w:eastAsia="en-GB"/>
              </w:rPr>
              <w:t>State-funded Establishments</w:t>
            </w:r>
          </w:p>
        </w:tc>
      </w:tr>
      <w:tr w:rsidR="00383F38" w:rsidRPr="00911B7F" w14:paraId="5D87F3A6" w14:textId="77777777" w:rsidTr="00A75344">
        <w:trPr>
          <w:trHeight w:val="300"/>
        </w:trPr>
        <w:tc>
          <w:tcPr>
            <w:tcW w:w="3573" w:type="dxa"/>
            <w:tcBorders>
              <w:left w:val="double" w:sz="4" w:space="0" w:color="auto"/>
            </w:tcBorders>
            <w:shd w:val="clear" w:color="auto" w:fill="auto"/>
            <w:noWrap/>
            <w:hideMark/>
          </w:tcPr>
          <w:p w14:paraId="150D1B52"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All Through</w:t>
            </w:r>
          </w:p>
        </w:tc>
        <w:tc>
          <w:tcPr>
            <w:tcW w:w="2427" w:type="dxa"/>
            <w:shd w:val="clear" w:color="auto" w:fill="auto"/>
          </w:tcPr>
          <w:p w14:paraId="32DDE13F"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2</w:t>
            </w:r>
          </w:p>
        </w:tc>
        <w:tc>
          <w:tcPr>
            <w:tcW w:w="3000" w:type="dxa"/>
            <w:tcBorders>
              <w:right w:val="double" w:sz="4" w:space="0" w:color="auto"/>
            </w:tcBorders>
            <w:shd w:val="clear" w:color="auto" w:fill="auto"/>
            <w:vAlign w:val="bottom"/>
          </w:tcPr>
          <w:p w14:paraId="0516FA2B"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2</w:t>
            </w:r>
          </w:p>
        </w:tc>
      </w:tr>
      <w:tr w:rsidR="00383F38" w:rsidRPr="00911B7F" w14:paraId="47796622" w14:textId="77777777" w:rsidTr="00A75344">
        <w:trPr>
          <w:trHeight w:val="300"/>
        </w:trPr>
        <w:tc>
          <w:tcPr>
            <w:tcW w:w="3573" w:type="dxa"/>
            <w:tcBorders>
              <w:left w:val="double" w:sz="4" w:space="0" w:color="auto"/>
            </w:tcBorders>
            <w:shd w:val="clear" w:color="auto" w:fill="auto"/>
            <w:noWrap/>
            <w:hideMark/>
          </w:tcPr>
          <w:p w14:paraId="439B11B4"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Middle</w:t>
            </w:r>
          </w:p>
        </w:tc>
        <w:tc>
          <w:tcPr>
            <w:tcW w:w="2427" w:type="dxa"/>
            <w:shd w:val="clear" w:color="auto" w:fill="auto"/>
          </w:tcPr>
          <w:p w14:paraId="2F02FD89"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8</w:t>
            </w:r>
          </w:p>
        </w:tc>
        <w:tc>
          <w:tcPr>
            <w:tcW w:w="3000" w:type="dxa"/>
            <w:tcBorders>
              <w:right w:val="double" w:sz="4" w:space="0" w:color="auto"/>
            </w:tcBorders>
            <w:shd w:val="clear" w:color="auto" w:fill="auto"/>
            <w:vAlign w:val="bottom"/>
          </w:tcPr>
          <w:p w14:paraId="20C52DC3"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6</w:t>
            </w:r>
          </w:p>
        </w:tc>
      </w:tr>
      <w:tr w:rsidR="00383F38" w:rsidRPr="00911B7F" w14:paraId="0709F89A" w14:textId="77777777" w:rsidTr="00A75344">
        <w:trPr>
          <w:trHeight w:val="300"/>
        </w:trPr>
        <w:tc>
          <w:tcPr>
            <w:tcW w:w="3573" w:type="dxa"/>
            <w:tcBorders>
              <w:left w:val="double" w:sz="4" w:space="0" w:color="auto"/>
            </w:tcBorders>
            <w:shd w:val="clear" w:color="auto" w:fill="auto"/>
            <w:noWrap/>
            <w:hideMark/>
          </w:tcPr>
          <w:p w14:paraId="17500D75"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Infant</w:t>
            </w:r>
          </w:p>
        </w:tc>
        <w:tc>
          <w:tcPr>
            <w:tcW w:w="2427" w:type="dxa"/>
            <w:shd w:val="clear" w:color="auto" w:fill="auto"/>
          </w:tcPr>
          <w:p w14:paraId="7520F294"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13</w:t>
            </w:r>
          </w:p>
        </w:tc>
        <w:tc>
          <w:tcPr>
            <w:tcW w:w="3000" w:type="dxa"/>
            <w:tcBorders>
              <w:right w:val="double" w:sz="4" w:space="0" w:color="auto"/>
            </w:tcBorders>
            <w:shd w:val="clear" w:color="auto" w:fill="auto"/>
            <w:vAlign w:val="bottom"/>
          </w:tcPr>
          <w:p w14:paraId="0C0716FF"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3</w:t>
            </w:r>
          </w:p>
        </w:tc>
      </w:tr>
      <w:tr w:rsidR="00383F38" w:rsidRPr="00911B7F" w14:paraId="58278E8D" w14:textId="77777777" w:rsidTr="00A75344">
        <w:trPr>
          <w:trHeight w:val="300"/>
        </w:trPr>
        <w:tc>
          <w:tcPr>
            <w:tcW w:w="3573" w:type="dxa"/>
            <w:tcBorders>
              <w:left w:val="double" w:sz="4" w:space="0" w:color="auto"/>
            </w:tcBorders>
            <w:shd w:val="clear" w:color="auto" w:fill="auto"/>
            <w:noWrap/>
            <w:hideMark/>
          </w:tcPr>
          <w:p w14:paraId="2492D5C2"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First</w:t>
            </w:r>
          </w:p>
        </w:tc>
        <w:tc>
          <w:tcPr>
            <w:tcW w:w="2427" w:type="dxa"/>
            <w:shd w:val="clear" w:color="auto" w:fill="auto"/>
          </w:tcPr>
          <w:p w14:paraId="301F3497"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38</w:t>
            </w:r>
          </w:p>
        </w:tc>
        <w:tc>
          <w:tcPr>
            <w:tcW w:w="3000" w:type="dxa"/>
            <w:tcBorders>
              <w:right w:val="double" w:sz="4" w:space="0" w:color="auto"/>
            </w:tcBorders>
            <w:shd w:val="clear" w:color="auto" w:fill="auto"/>
            <w:vAlign w:val="bottom"/>
          </w:tcPr>
          <w:p w14:paraId="383158C7"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13</w:t>
            </w:r>
          </w:p>
        </w:tc>
      </w:tr>
      <w:tr w:rsidR="00383F38" w:rsidRPr="00911B7F" w14:paraId="5C08BDA6" w14:textId="77777777" w:rsidTr="00A75344">
        <w:trPr>
          <w:trHeight w:val="300"/>
        </w:trPr>
        <w:tc>
          <w:tcPr>
            <w:tcW w:w="3573" w:type="dxa"/>
            <w:tcBorders>
              <w:left w:val="double" w:sz="4" w:space="0" w:color="auto"/>
            </w:tcBorders>
            <w:shd w:val="clear" w:color="auto" w:fill="auto"/>
            <w:noWrap/>
            <w:hideMark/>
          </w:tcPr>
          <w:p w14:paraId="0094A346"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Primary</w:t>
            </w:r>
          </w:p>
        </w:tc>
        <w:tc>
          <w:tcPr>
            <w:tcW w:w="2427" w:type="dxa"/>
            <w:shd w:val="clear" w:color="auto" w:fill="auto"/>
          </w:tcPr>
          <w:p w14:paraId="6148650E"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154</w:t>
            </w:r>
          </w:p>
        </w:tc>
        <w:tc>
          <w:tcPr>
            <w:tcW w:w="3000" w:type="dxa"/>
            <w:tcBorders>
              <w:right w:val="double" w:sz="4" w:space="0" w:color="auto"/>
            </w:tcBorders>
            <w:shd w:val="clear" w:color="auto" w:fill="auto"/>
            <w:vAlign w:val="bottom"/>
          </w:tcPr>
          <w:p w14:paraId="3159C5DF"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51</w:t>
            </w:r>
          </w:p>
        </w:tc>
      </w:tr>
      <w:tr w:rsidR="00383F38" w:rsidRPr="00911B7F" w14:paraId="0CE5DF7E" w14:textId="77777777" w:rsidTr="00A75344">
        <w:trPr>
          <w:trHeight w:val="300"/>
        </w:trPr>
        <w:tc>
          <w:tcPr>
            <w:tcW w:w="3573" w:type="dxa"/>
            <w:tcBorders>
              <w:left w:val="double" w:sz="4" w:space="0" w:color="auto"/>
            </w:tcBorders>
            <w:shd w:val="clear" w:color="auto" w:fill="auto"/>
            <w:noWrap/>
            <w:hideMark/>
          </w:tcPr>
          <w:p w14:paraId="566067A3"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Junior</w:t>
            </w:r>
          </w:p>
        </w:tc>
        <w:tc>
          <w:tcPr>
            <w:tcW w:w="2427" w:type="dxa"/>
            <w:shd w:val="clear" w:color="auto" w:fill="auto"/>
          </w:tcPr>
          <w:p w14:paraId="4B74CC5A"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11</w:t>
            </w:r>
          </w:p>
        </w:tc>
        <w:tc>
          <w:tcPr>
            <w:tcW w:w="3000" w:type="dxa"/>
            <w:tcBorders>
              <w:right w:val="double" w:sz="4" w:space="0" w:color="auto"/>
            </w:tcBorders>
            <w:shd w:val="clear" w:color="auto" w:fill="auto"/>
            <w:vAlign w:val="bottom"/>
          </w:tcPr>
          <w:p w14:paraId="5AD0875D"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3</w:t>
            </w:r>
          </w:p>
        </w:tc>
      </w:tr>
      <w:tr w:rsidR="00383F38" w:rsidRPr="00911B7F" w14:paraId="459D41D4" w14:textId="77777777" w:rsidTr="00A75344">
        <w:trPr>
          <w:trHeight w:val="300"/>
        </w:trPr>
        <w:tc>
          <w:tcPr>
            <w:tcW w:w="3573" w:type="dxa"/>
            <w:tcBorders>
              <w:left w:val="double" w:sz="4" w:space="0" w:color="auto"/>
            </w:tcBorders>
            <w:shd w:val="clear" w:color="auto" w:fill="auto"/>
            <w:noWrap/>
            <w:hideMark/>
          </w:tcPr>
          <w:p w14:paraId="69BB9D0B"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Secondary</w:t>
            </w:r>
          </w:p>
        </w:tc>
        <w:tc>
          <w:tcPr>
            <w:tcW w:w="2427" w:type="dxa"/>
            <w:shd w:val="clear" w:color="auto" w:fill="auto"/>
          </w:tcPr>
          <w:p w14:paraId="5D8498A5"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24</w:t>
            </w:r>
          </w:p>
        </w:tc>
        <w:tc>
          <w:tcPr>
            <w:tcW w:w="3000" w:type="dxa"/>
            <w:tcBorders>
              <w:right w:val="double" w:sz="4" w:space="0" w:color="auto"/>
            </w:tcBorders>
            <w:shd w:val="clear" w:color="auto" w:fill="auto"/>
            <w:vAlign w:val="bottom"/>
          </w:tcPr>
          <w:p w14:paraId="42E0D020"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20</w:t>
            </w:r>
          </w:p>
        </w:tc>
      </w:tr>
      <w:tr w:rsidR="00383F38" w:rsidRPr="00911B7F" w14:paraId="0E3AA5BD" w14:textId="77777777" w:rsidTr="00A75344">
        <w:trPr>
          <w:trHeight w:val="300"/>
        </w:trPr>
        <w:tc>
          <w:tcPr>
            <w:tcW w:w="3573" w:type="dxa"/>
            <w:tcBorders>
              <w:left w:val="double" w:sz="4" w:space="0" w:color="auto"/>
            </w:tcBorders>
            <w:shd w:val="clear" w:color="auto" w:fill="auto"/>
            <w:noWrap/>
            <w:hideMark/>
          </w:tcPr>
          <w:p w14:paraId="3CF33290"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Upper</w:t>
            </w:r>
          </w:p>
        </w:tc>
        <w:tc>
          <w:tcPr>
            <w:tcW w:w="2427" w:type="dxa"/>
            <w:shd w:val="clear" w:color="auto" w:fill="auto"/>
          </w:tcPr>
          <w:p w14:paraId="58E7A244"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4</w:t>
            </w:r>
          </w:p>
        </w:tc>
        <w:tc>
          <w:tcPr>
            <w:tcW w:w="3000" w:type="dxa"/>
            <w:tcBorders>
              <w:right w:val="double" w:sz="4" w:space="0" w:color="auto"/>
            </w:tcBorders>
            <w:shd w:val="clear" w:color="auto" w:fill="auto"/>
            <w:vAlign w:val="bottom"/>
          </w:tcPr>
          <w:p w14:paraId="4948F061"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2</w:t>
            </w:r>
          </w:p>
        </w:tc>
      </w:tr>
      <w:tr w:rsidR="00383F38" w:rsidRPr="00911B7F" w14:paraId="0E4AA8A7" w14:textId="77777777" w:rsidTr="00A75344">
        <w:trPr>
          <w:trHeight w:val="300"/>
        </w:trPr>
        <w:tc>
          <w:tcPr>
            <w:tcW w:w="3573" w:type="dxa"/>
            <w:tcBorders>
              <w:left w:val="double" w:sz="4" w:space="0" w:color="auto"/>
            </w:tcBorders>
            <w:shd w:val="clear" w:color="auto" w:fill="auto"/>
            <w:noWrap/>
            <w:hideMark/>
          </w:tcPr>
          <w:p w14:paraId="7AF4F7BB"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Special</w:t>
            </w:r>
          </w:p>
        </w:tc>
        <w:tc>
          <w:tcPr>
            <w:tcW w:w="2427" w:type="dxa"/>
            <w:shd w:val="clear" w:color="auto" w:fill="auto"/>
          </w:tcPr>
          <w:p w14:paraId="22D0CA5B"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9</w:t>
            </w:r>
          </w:p>
        </w:tc>
        <w:tc>
          <w:tcPr>
            <w:tcW w:w="3000" w:type="dxa"/>
            <w:tcBorders>
              <w:right w:val="double" w:sz="4" w:space="0" w:color="auto"/>
            </w:tcBorders>
            <w:shd w:val="clear" w:color="auto" w:fill="auto"/>
            <w:vAlign w:val="bottom"/>
          </w:tcPr>
          <w:p w14:paraId="3EEFBDA1"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2</w:t>
            </w:r>
          </w:p>
        </w:tc>
      </w:tr>
      <w:tr w:rsidR="00383F38" w:rsidRPr="00911B7F" w14:paraId="1E162D7A" w14:textId="77777777" w:rsidTr="00A75344">
        <w:trPr>
          <w:trHeight w:val="300"/>
        </w:trPr>
        <w:tc>
          <w:tcPr>
            <w:tcW w:w="3573" w:type="dxa"/>
            <w:tcBorders>
              <w:left w:val="double" w:sz="4" w:space="0" w:color="auto"/>
              <w:bottom w:val="double" w:sz="4" w:space="0" w:color="auto"/>
            </w:tcBorders>
            <w:shd w:val="clear" w:color="auto" w:fill="auto"/>
            <w:noWrap/>
            <w:hideMark/>
          </w:tcPr>
          <w:p w14:paraId="6134B601"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PRU</w:t>
            </w:r>
          </w:p>
        </w:tc>
        <w:tc>
          <w:tcPr>
            <w:tcW w:w="2427" w:type="dxa"/>
            <w:tcBorders>
              <w:bottom w:val="double" w:sz="4" w:space="0" w:color="auto"/>
            </w:tcBorders>
            <w:shd w:val="clear" w:color="auto" w:fill="auto"/>
          </w:tcPr>
          <w:p w14:paraId="3E372C11"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4</w:t>
            </w:r>
          </w:p>
        </w:tc>
        <w:tc>
          <w:tcPr>
            <w:tcW w:w="3000" w:type="dxa"/>
            <w:tcBorders>
              <w:bottom w:val="double" w:sz="4" w:space="0" w:color="auto"/>
              <w:right w:val="double" w:sz="4" w:space="0" w:color="auto"/>
            </w:tcBorders>
            <w:shd w:val="clear" w:color="auto" w:fill="auto"/>
          </w:tcPr>
          <w:p w14:paraId="65A24AA3" w14:textId="77777777" w:rsidR="00383F38" w:rsidRPr="00383F38" w:rsidRDefault="00383F38" w:rsidP="00911B7F">
            <w:pPr>
              <w:spacing w:after="0" w:line="240" w:lineRule="auto"/>
              <w:jc w:val="center"/>
              <w:rPr>
                <w:rFonts w:eastAsia="Times New Roman" w:cs="Arial"/>
                <w:szCs w:val="24"/>
                <w:lang w:eastAsia="en-GB"/>
              </w:rPr>
            </w:pPr>
            <w:r w:rsidRPr="00383F38">
              <w:rPr>
                <w:rFonts w:eastAsia="Times New Roman" w:cs="Arial"/>
                <w:szCs w:val="24"/>
                <w:lang w:eastAsia="en-GB"/>
              </w:rPr>
              <w:t>0</w:t>
            </w:r>
          </w:p>
        </w:tc>
      </w:tr>
      <w:tr w:rsidR="00383F38" w:rsidRPr="00911B7F" w14:paraId="1AC217E7" w14:textId="77777777" w:rsidTr="00A75344">
        <w:trPr>
          <w:trHeight w:val="300"/>
        </w:trPr>
        <w:tc>
          <w:tcPr>
            <w:tcW w:w="3573" w:type="dxa"/>
            <w:tcBorders>
              <w:top w:val="double" w:sz="4" w:space="0" w:color="auto"/>
              <w:left w:val="double" w:sz="4" w:space="0" w:color="auto"/>
              <w:bottom w:val="double" w:sz="4" w:space="0" w:color="auto"/>
              <w:right w:val="double" w:sz="4" w:space="0" w:color="auto"/>
            </w:tcBorders>
            <w:shd w:val="clear" w:color="auto" w:fill="auto"/>
            <w:noWrap/>
          </w:tcPr>
          <w:p w14:paraId="53DB6820"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SUB TOTAL</w:t>
            </w:r>
          </w:p>
        </w:tc>
        <w:tc>
          <w:tcPr>
            <w:tcW w:w="2427" w:type="dxa"/>
            <w:tcBorders>
              <w:top w:val="double" w:sz="4" w:space="0" w:color="auto"/>
              <w:left w:val="double" w:sz="4" w:space="0" w:color="auto"/>
              <w:bottom w:val="double" w:sz="4" w:space="0" w:color="auto"/>
              <w:right w:val="double" w:sz="4" w:space="0" w:color="auto"/>
            </w:tcBorders>
            <w:shd w:val="clear" w:color="auto" w:fill="auto"/>
          </w:tcPr>
          <w:p w14:paraId="2336866B"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267</w:t>
            </w:r>
          </w:p>
        </w:tc>
        <w:tc>
          <w:tcPr>
            <w:tcW w:w="3000" w:type="dxa"/>
            <w:tcBorders>
              <w:top w:val="double" w:sz="4" w:space="0" w:color="auto"/>
              <w:left w:val="double" w:sz="4" w:space="0" w:color="auto"/>
              <w:bottom w:val="double" w:sz="4" w:space="0" w:color="auto"/>
              <w:right w:val="double" w:sz="4" w:space="0" w:color="auto"/>
            </w:tcBorders>
            <w:shd w:val="clear" w:color="auto" w:fill="auto"/>
          </w:tcPr>
          <w:p w14:paraId="7DCF74D5" w14:textId="77777777" w:rsidR="00383F38" w:rsidRPr="00383F38" w:rsidRDefault="00383F38" w:rsidP="00911B7F">
            <w:pPr>
              <w:spacing w:after="0" w:line="240" w:lineRule="auto"/>
              <w:jc w:val="center"/>
              <w:rPr>
                <w:rFonts w:eastAsia="Times New Roman" w:cs="Arial"/>
                <w:szCs w:val="24"/>
                <w:lang w:eastAsia="en-GB"/>
              </w:rPr>
            </w:pPr>
            <w:r w:rsidRPr="00383F38">
              <w:rPr>
                <w:rFonts w:eastAsia="Times New Roman" w:cs="Arial"/>
                <w:szCs w:val="24"/>
                <w:lang w:eastAsia="en-GB"/>
              </w:rPr>
              <w:t>102</w:t>
            </w:r>
          </w:p>
        </w:tc>
      </w:tr>
      <w:tr w:rsidR="00383F38" w:rsidRPr="00911B7F" w14:paraId="776C7377" w14:textId="77777777" w:rsidTr="00A75344">
        <w:trPr>
          <w:trHeight w:val="300"/>
        </w:trPr>
        <w:tc>
          <w:tcPr>
            <w:tcW w:w="9000" w:type="dxa"/>
            <w:gridSpan w:val="3"/>
            <w:tcBorders>
              <w:top w:val="double" w:sz="4" w:space="0" w:color="auto"/>
              <w:left w:val="double" w:sz="4" w:space="0" w:color="auto"/>
              <w:right w:val="double" w:sz="4" w:space="0" w:color="auto"/>
            </w:tcBorders>
            <w:shd w:val="clear" w:color="auto" w:fill="auto"/>
            <w:noWrap/>
          </w:tcPr>
          <w:p w14:paraId="231BAA99" w14:textId="77777777" w:rsidR="00383F38" w:rsidRPr="00383F38" w:rsidRDefault="00383F38" w:rsidP="00911B7F">
            <w:pPr>
              <w:spacing w:after="0" w:line="240" w:lineRule="auto"/>
              <w:jc w:val="center"/>
              <w:rPr>
                <w:rFonts w:eastAsia="Times New Roman" w:cs="Arial"/>
                <w:szCs w:val="24"/>
                <w:lang w:eastAsia="en-GB"/>
              </w:rPr>
            </w:pPr>
            <w:r w:rsidRPr="00383F38">
              <w:rPr>
                <w:rFonts w:eastAsia="Times New Roman" w:cs="Arial"/>
                <w:szCs w:val="24"/>
                <w:lang w:eastAsia="en-GB"/>
              </w:rPr>
              <w:t>Other</w:t>
            </w:r>
          </w:p>
        </w:tc>
      </w:tr>
      <w:tr w:rsidR="00383F38" w:rsidRPr="00911B7F" w14:paraId="26EADEA5" w14:textId="77777777" w:rsidTr="00A75344">
        <w:trPr>
          <w:trHeight w:val="300"/>
        </w:trPr>
        <w:tc>
          <w:tcPr>
            <w:tcW w:w="3573" w:type="dxa"/>
            <w:tcBorders>
              <w:top w:val="single" w:sz="4" w:space="0" w:color="auto"/>
              <w:left w:val="double" w:sz="4" w:space="0" w:color="auto"/>
              <w:bottom w:val="single" w:sz="4" w:space="0" w:color="auto"/>
              <w:right w:val="single" w:sz="4" w:space="0" w:color="auto"/>
            </w:tcBorders>
            <w:shd w:val="clear" w:color="auto" w:fill="auto"/>
            <w:noWrap/>
          </w:tcPr>
          <w:p w14:paraId="16968BCD"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Colleges</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87DFCC8"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4</w:t>
            </w:r>
          </w:p>
        </w:tc>
        <w:tc>
          <w:tcPr>
            <w:tcW w:w="3000" w:type="dxa"/>
            <w:tcBorders>
              <w:top w:val="single" w:sz="4" w:space="0" w:color="auto"/>
              <w:left w:val="single" w:sz="4" w:space="0" w:color="auto"/>
              <w:bottom w:val="single" w:sz="4" w:space="0" w:color="auto"/>
              <w:right w:val="double" w:sz="4" w:space="0" w:color="auto"/>
            </w:tcBorders>
            <w:shd w:val="clear" w:color="auto" w:fill="auto"/>
          </w:tcPr>
          <w:p w14:paraId="04575F2C" w14:textId="77777777" w:rsidR="00383F38" w:rsidRPr="00383F38" w:rsidRDefault="00383F38" w:rsidP="00911B7F">
            <w:pPr>
              <w:spacing w:after="0" w:line="240" w:lineRule="auto"/>
              <w:jc w:val="center"/>
              <w:rPr>
                <w:rFonts w:eastAsia="Times New Roman" w:cs="Arial"/>
                <w:szCs w:val="24"/>
                <w:lang w:eastAsia="en-GB"/>
              </w:rPr>
            </w:pPr>
            <w:r w:rsidRPr="00383F38">
              <w:rPr>
                <w:rFonts w:eastAsia="Times New Roman" w:cs="Arial"/>
                <w:szCs w:val="24"/>
                <w:lang w:eastAsia="en-GB"/>
              </w:rPr>
              <w:t>N/A</w:t>
            </w:r>
          </w:p>
        </w:tc>
      </w:tr>
      <w:tr w:rsidR="00383F38" w:rsidRPr="00911B7F" w14:paraId="108E0EBD" w14:textId="77777777" w:rsidTr="00A75344">
        <w:trPr>
          <w:trHeight w:val="300"/>
        </w:trPr>
        <w:tc>
          <w:tcPr>
            <w:tcW w:w="3573" w:type="dxa"/>
            <w:tcBorders>
              <w:left w:val="double" w:sz="4" w:space="0" w:color="auto"/>
            </w:tcBorders>
            <w:shd w:val="clear" w:color="auto" w:fill="auto"/>
            <w:noWrap/>
          </w:tcPr>
          <w:p w14:paraId="1B6C3A9B"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Special Post 16</w:t>
            </w:r>
          </w:p>
        </w:tc>
        <w:tc>
          <w:tcPr>
            <w:tcW w:w="2427" w:type="dxa"/>
            <w:shd w:val="clear" w:color="auto" w:fill="auto"/>
          </w:tcPr>
          <w:p w14:paraId="22111DE8"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3</w:t>
            </w:r>
          </w:p>
        </w:tc>
        <w:tc>
          <w:tcPr>
            <w:tcW w:w="3000" w:type="dxa"/>
            <w:tcBorders>
              <w:right w:val="double" w:sz="4" w:space="0" w:color="auto"/>
            </w:tcBorders>
            <w:shd w:val="clear" w:color="auto" w:fill="auto"/>
          </w:tcPr>
          <w:p w14:paraId="05B51FB5" w14:textId="77777777" w:rsidR="00383F38" w:rsidRPr="00383F38" w:rsidRDefault="00383F38" w:rsidP="00911B7F">
            <w:pPr>
              <w:spacing w:after="0" w:line="240" w:lineRule="auto"/>
              <w:jc w:val="center"/>
              <w:rPr>
                <w:rFonts w:eastAsia="Times New Roman" w:cs="Arial"/>
                <w:szCs w:val="24"/>
                <w:lang w:eastAsia="en-GB"/>
              </w:rPr>
            </w:pPr>
            <w:r w:rsidRPr="00383F38">
              <w:rPr>
                <w:rFonts w:eastAsia="Times New Roman" w:cs="Arial"/>
                <w:szCs w:val="24"/>
                <w:lang w:eastAsia="en-GB"/>
              </w:rPr>
              <w:t>N/A</w:t>
            </w:r>
          </w:p>
        </w:tc>
      </w:tr>
      <w:tr w:rsidR="00383F38" w:rsidRPr="00911B7F" w14:paraId="255210F8" w14:textId="77777777" w:rsidTr="00A75344">
        <w:trPr>
          <w:trHeight w:val="300"/>
        </w:trPr>
        <w:tc>
          <w:tcPr>
            <w:tcW w:w="3573" w:type="dxa"/>
            <w:tcBorders>
              <w:left w:val="double" w:sz="4" w:space="0" w:color="auto"/>
            </w:tcBorders>
            <w:shd w:val="clear" w:color="auto" w:fill="auto"/>
            <w:noWrap/>
          </w:tcPr>
          <w:p w14:paraId="34D8340A"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Independent</w:t>
            </w:r>
          </w:p>
        </w:tc>
        <w:tc>
          <w:tcPr>
            <w:tcW w:w="2427" w:type="dxa"/>
            <w:shd w:val="clear" w:color="auto" w:fill="auto"/>
          </w:tcPr>
          <w:p w14:paraId="65513321"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18</w:t>
            </w:r>
          </w:p>
        </w:tc>
        <w:tc>
          <w:tcPr>
            <w:tcW w:w="3000" w:type="dxa"/>
            <w:tcBorders>
              <w:right w:val="double" w:sz="4" w:space="0" w:color="auto"/>
            </w:tcBorders>
            <w:shd w:val="clear" w:color="auto" w:fill="auto"/>
          </w:tcPr>
          <w:p w14:paraId="77236E79" w14:textId="77777777" w:rsidR="00383F38" w:rsidRPr="00383F38" w:rsidRDefault="00383F38" w:rsidP="00911B7F">
            <w:pPr>
              <w:spacing w:after="0" w:line="240" w:lineRule="auto"/>
              <w:jc w:val="center"/>
              <w:rPr>
                <w:rFonts w:eastAsia="Times New Roman" w:cs="Arial"/>
                <w:szCs w:val="24"/>
                <w:lang w:eastAsia="en-GB"/>
              </w:rPr>
            </w:pPr>
            <w:r w:rsidRPr="00383F38">
              <w:rPr>
                <w:rFonts w:eastAsia="Times New Roman" w:cs="Arial"/>
                <w:szCs w:val="24"/>
                <w:lang w:eastAsia="en-GB"/>
              </w:rPr>
              <w:t>N/A</w:t>
            </w:r>
          </w:p>
        </w:tc>
      </w:tr>
      <w:tr w:rsidR="00383F38" w:rsidRPr="00911B7F" w14:paraId="18AE13F4" w14:textId="77777777" w:rsidTr="00A75344">
        <w:trPr>
          <w:trHeight w:val="300"/>
        </w:trPr>
        <w:tc>
          <w:tcPr>
            <w:tcW w:w="3573" w:type="dxa"/>
            <w:tcBorders>
              <w:left w:val="double" w:sz="4" w:space="0" w:color="auto"/>
              <w:bottom w:val="double" w:sz="4" w:space="0" w:color="auto"/>
            </w:tcBorders>
            <w:shd w:val="clear" w:color="auto" w:fill="auto"/>
            <w:noWrap/>
          </w:tcPr>
          <w:p w14:paraId="5861BB0E"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Independent Special</w:t>
            </w:r>
          </w:p>
        </w:tc>
        <w:tc>
          <w:tcPr>
            <w:tcW w:w="2427" w:type="dxa"/>
            <w:tcBorders>
              <w:bottom w:val="double" w:sz="4" w:space="0" w:color="auto"/>
            </w:tcBorders>
            <w:shd w:val="clear" w:color="auto" w:fill="auto"/>
          </w:tcPr>
          <w:p w14:paraId="3851F46F"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15</w:t>
            </w:r>
          </w:p>
        </w:tc>
        <w:tc>
          <w:tcPr>
            <w:tcW w:w="3000" w:type="dxa"/>
            <w:tcBorders>
              <w:bottom w:val="double" w:sz="4" w:space="0" w:color="auto"/>
              <w:right w:val="double" w:sz="4" w:space="0" w:color="auto"/>
            </w:tcBorders>
            <w:shd w:val="clear" w:color="auto" w:fill="auto"/>
          </w:tcPr>
          <w:p w14:paraId="3B1B12D4" w14:textId="77777777" w:rsidR="00383F38" w:rsidRPr="00383F38" w:rsidRDefault="00383F38" w:rsidP="00911B7F">
            <w:pPr>
              <w:spacing w:after="0" w:line="240" w:lineRule="auto"/>
              <w:jc w:val="center"/>
              <w:rPr>
                <w:rFonts w:eastAsia="Times New Roman" w:cs="Arial"/>
                <w:szCs w:val="24"/>
                <w:lang w:eastAsia="en-GB"/>
              </w:rPr>
            </w:pPr>
            <w:r w:rsidRPr="00383F38">
              <w:rPr>
                <w:rFonts w:eastAsia="Times New Roman" w:cs="Arial"/>
                <w:szCs w:val="24"/>
                <w:lang w:eastAsia="en-GB"/>
              </w:rPr>
              <w:t>N/A</w:t>
            </w:r>
          </w:p>
        </w:tc>
      </w:tr>
      <w:tr w:rsidR="00383F38" w:rsidRPr="00911B7F" w14:paraId="30890E8B" w14:textId="77777777" w:rsidTr="00A75344">
        <w:trPr>
          <w:trHeight w:val="300"/>
        </w:trPr>
        <w:tc>
          <w:tcPr>
            <w:tcW w:w="3573" w:type="dxa"/>
            <w:tcBorders>
              <w:top w:val="double" w:sz="4" w:space="0" w:color="auto"/>
              <w:left w:val="double" w:sz="4" w:space="0" w:color="auto"/>
              <w:bottom w:val="double" w:sz="4" w:space="0" w:color="auto"/>
              <w:right w:val="double" w:sz="4" w:space="0" w:color="auto"/>
            </w:tcBorders>
            <w:shd w:val="clear" w:color="auto" w:fill="auto"/>
            <w:noWrap/>
          </w:tcPr>
          <w:p w14:paraId="69402F4F" w14:textId="77777777" w:rsidR="00383F38" w:rsidRPr="00383F38" w:rsidRDefault="00383F38" w:rsidP="00911B7F">
            <w:pPr>
              <w:spacing w:after="0" w:line="240" w:lineRule="auto"/>
              <w:rPr>
                <w:rFonts w:eastAsia="Times New Roman" w:cs="Arial"/>
                <w:szCs w:val="24"/>
                <w:lang w:eastAsia="en-GB"/>
              </w:rPr>
            </w:pPr>
            <w:r w:rsidRPr="00383F38">
              <w:rPr>
                <w:rFonts w:eastAsia="Times New Roman" w:cs="Arial"/>
                <w:szCs w:val="24"/>
                <w:lang w:eastAsia="en-GB"/>
              </w:rPr>
              <w:t>SUB TOTAL</w:t>
            </w:r>
          </w:p>
        </w:tc>
        <w:tc>
          <w:tcPr>
            <w:tcW w:w="2427" w:type="dxa"/>
            <w:tcBorders>
              <w:top w:val="double" w:sz="4" w:space="0" w:color="auto"/>
              <w:left w:val="double" w:sz="4" w:space="0" w:color="auto"/>
              <w:bottom w:val="double" w:sz="4" w:space="0" w:color="auto"/>
              <w:right w:val="double" w:sz="4" w:space="0" w:color="auto"/>
            </w:tcBorders>
            <w:shd w:val="clear" w:color="auto" w:fill="auto"/>
          </w:tcPr>
          <w:p w14:paraId="5E63E854" w14:textId="77777777" w:rsidR="00383F38" w:rsidRPr="00383F38" w:rsidRDefault="00383F38" w:rsidP="00911B7F">
            <w:pPr>
              <w:spacing w:after="0" w:line="240" w:lineRule="auto"/>
              <w:jc w:val="center"/>
              <w:rPr>
                <w:rFonts w:eastAsia="Times New Roman" w:cs="Arial"/>
                <w:bCs/>
                <w:szCs w:val="24"/>
                <w:lang w:eastAsia="en-GB"/>
              </w:rPr>
            </w:pPr>
            <w:r w:rsidRPr="00383F38">
              <w:rPr>
                <w:rFonts w:eastAsia="Times New Roman" w:cs="Arial"/>
                <w:bCs/>
                <w:szCs w:val="24"/>
                <w:lang w:eastAsia="en-GB"/>
              </w:rPr>
              <w:t>40</w:t>
            </w:r>
          </w:p>
        </w:tc>
        <w:tc>
          <w:tcPr>
            <w:tcW w:w="3000" w:type="dxa"/>
            <w:tcBorders>
              <w:top w:val="double" w:sz="4" w:space="0" w:color="auto"/>
              <w:left w:val="double" w:sz="4" w:space="0" w:color="auto"/>
              <w:bottom w:val="double" w:sz="4" w:space="0" w:color="auto"/>
              <w:right w:val="double" w:sz="4" w:space="0" w:color="auto"/>
            </w:tcBorders>
            <w:shd w:val="clear" w:color="auto" w:fill="auto"/>
          </w:tcPr>
          <w:p w14:paraId="39D4B74E" w14:textId="77777777" w:rsidR="00383F38" w:rsidRPr="00383F38" w:rsidRDefault="00383F38" w:rsidP="00911B7F">
            <w:pPr>
              <w:spacing w:after="0" w:line="240" w:lineRule="auto"/>
              <w:jc w:val="center"/>
              <w:rPr>
                <w:rFonts w:eastAsia="Times New Roman" w:cs="Arial"/>
                <w:szCs w:val="24"/>
                <w:lang w:eastAsia="en-GB"/>
              </w:rPr>
            </w:pPr>
            <w:r w:rsidRPr="00383F38">
              <w:rPr>
                <w:rFonts w:eastAsia="Times New Roman" w:cs="Arial"/>
                <w:szCs w:val="24"/>
                <w:lang w:eastAsia="en-GB"/>
              </w:rPr>
              <w:t>N/A</w:t>
            </w:r>
          </w:p>
        </w:tc>
      </w:tr>
      <w:tr w:rsidR="00911B7F" w:rsidRPr="00911B7F" w14:paraId="11EFCC90" w14:textId="77777777" w:rsidTr="00A75344">
        <w:trPr>
          <w:trHeight w:val="300"/>
        </w:trPr>
        <w:tc>
          <w:tcPr>
            <w:tcW w:w="3573" w:type="dxa"/>
            <w:tcBorders>
              <w:top w:val="double" w:sz="4" w:space="0" w:color="auto"/>
              <w:left w:val="double" w:sz="4" w:space="0" w:color="auto"/>
              <w:bottom w:val="double" w:sz="4" w:space="0" w:color="auto"/>
              <w:right w:val="double" w:sz="4" w:space="0" w:color="auto"/>
            </w:tcBorders>
            <w:shd w:val="clear" w:color="auto" w:fill="auto"/>
            <w:noWrap/>
          </w:tcPr>
          <w:p w14:paraId="14FFB0DB" w14:textId="77777777" w:rsidR="00383F38" w:rsidRPr="00383F38" w:rsidRDefault="00383F38" w:rsidP="00911B7F">
            <w:pPr>
              <w:spacing w:after="0" w:line="240" w:lineRule="auto"/>
              <w:rPr>
                <w:rFonts w:eastAsia="Times New Roman" w:cs="Arial"/>
                <w:b/>
                <w:szCs w:val="24"/>
                <w:lang w:eastAsia="en-GB"/>
              </w:rPr>
            </w:pPr>
            <w:r w:rsidRPr="00383F38">
              <w:rPr>
                <w:rFonts w:eastAsia="Times New Roman" w:cs="Arial"/>
                <w:b/>
                <w:szCs w:val="24"/>
                <w:lang w:eastAsia="en-GB"/>
              </w:rPr>
              <w:t>GRAND TOTAL</w:t>
            </w:r>
          </w:p>
        </w:tc>
        <w:tc>
          <w:tcPr>
            <w:tcW w:w="2427" w:type="dxa"/>
            <w:tcBorders>
              <w:top w:val="double" w:sz="4" w:space="0" w:color="auto"/>
              <w:left w:val="double" w:sz="4" w:space="0" w:color="auto"/>
              <w:bottom w:val="double" w:sz="4" w:space="0" w:color="auto"/>
              <w:right w:val="double" w:sz="4" w:space="0" w:color="auto"/>
            </w:tcBorders>
            <w:shd w:val="clear" w:color="auto" w:fill="auto"/>
          </w:tcPr>
          <w:p w14:paraId="30308A8A" w14:textId="77777777" w:rsidR="00383F38" w:rsidRPr="00383F38" w:rsidRDefault="00383F38" w:rsidP="00911B7F">
            <w:pPr>
              <w:spacing w:after="0" w:line="240" w:lineRule="auto"/>
              <w:jc w:val="center"/>
              <w:rPr>
                <w:rFonts w:eastAsia="Times New Roman" w:cs="Arial"/>
                <w:b/>
                <w:bCs/>
                <w:szCs w:val="24"/>
                <w:lang w:eastAsia="en-GB"/>
              </w:rPr>
            </w:pPr>
            <w:r w:rsidRPr="00383F38">
              <w:rPr>
                <w:rFonts w:eastAsia="Times New Roman" w:cs="Arial"/>
                <w:b/>
                <w:bCs/>
                <w:szCs w:val="24"/>
                <w:lang w:eastAsia="en-GB"/>
              </w:rPr>
              <w:t>307</w:t>
            </w:r>
          </w:p>
        </w:tc>
        <w:tc>
          <w:tcPr>
            <w:tcW w:w="3000" w:type="dxa"/>
            <w:tcBorders>
              <w:top w:val="double" w:sz="4" w:space="0" w:color="auto"/>
              <w:left w:val="double" w:sz="4" w:space="0" w:color="auto"/>
              <w:bottom w:val="double" w:sz="4" w:space="0" w:color="auto"/>
              <w:right w:val="double" w:sz="4" w:space="0" w:color="auto"/>
            </w:tcBorders>
            <w:shd w:val="clear" w:color="auto" w:fill="auto"/>
          </w:tcPr>
          <w:p w14:paraId="513FA6D3" w14:textId="77777777" w:rsidR="00383F38" w:rsidRPr="00383F38" w:rsidRDefault="00383F38" w:rsidP="00911B7F">
            <w:pPr>
              <w:spacing w:after="0" w:line="240" w:lineRule="auto"/>
              <w:jc w:val="center"/>
              <w:rPr>
                <w:rFonts w:eastAsia="Times New Roman" w:cs="Arial"/>
                <w:b/>
                <w:szCs w:val="24"/>
                <w:lang w:eastAsia="en-GB"/>
              </w:rPr>
            </w:pPr>
            <w:r w:rsidRPr="00383F38">
              <w:rPr>
                <w:rFonts w:eastAsia="Times New Roman" w:cs="Arial"/>
                <w:b/>
                <w:szCs w:val="24"/>
                <w:lang w:eastAsia="en-GB"/>
              </w:rPr>
              <w:t>102</w:t>
            </w:r>
          </w:p>
        </w:tc>
      </w:tr>
    </w:tbl>
    <w:p w14:paraId="378776F9" w14:textId="77777777" w:rsidR="00383F38" w:rsidRPr="00383F38" w:rsidRDefault="00383F38" w:rsidP="00911B7F">
      <w:pPr>
        <w:spacing w:after="0" w:line="240" w:lineRule="auto"/>
        <w:rPr>
          <w:rFonts w:eastAsia="Times New Roman" w:cs="Arial"/>
          <w:szCs w:val="24"/>
          <w:lang w:eastAsia="en-GB"/>
        </w:rPr>
      </w:pPr>
    </w:p>
    <w:p w14:paraId="062F6C4A" w14:textId="77777777" w:rsidR="00863EEA" w:rsidRPr="00911B7F" w:rsidRDefault="00863EEA" w:rsidP="00911B7F">
      <w:pPr>
        <w:spacing w:after="0"/>
        <w:rPr>
          <w:rFonts w:cs="Arial"/>
          <w:b/>
          <w:szCs w:val="24"/>
        </w:rPr>
      </w:pPr>
    </w:p>
    <w:p w14:paraId="4ED97A90" w14:textId="3FE1661D" w:rsidR="00B175DD" w:rsidRPr="00911B7F" w:rsidRDefault="007706F2" w:rsidP="00911B7F">
      <w:pPr>
        <w:spacing w:after="0"/>
        <w:rPr>
          <w:rFonts w:cs="Arial"/>
          <w:b/>
          <w:szCs w:val="24"/>
        </w:rPr>
      </w:pPr>
      <w:r>
        <w:rPr>
          <w:rFonts w:cs="Arial"/>
          <w:b/>
          <w:szCs w:val="24"/>
        </w:rPr>
        <w:t xml:space="preserve">GOVERNANCE STRUCTURE, &amp; </w:t>
      </w:r>
      <w:r w:rsidR="00B175DD" w:rsidRPr="00911B7F">
        <w:rPr>
          <w:rFonts w:cs="Arial"/>
          <w:b/>
          <w:szCs w:val="24"/>
        </w:rPr>
        <w:t>ROLE &amp; REMIT OF MANAGEMENT BOARD</w:t>
      </w:r>
    </w:p>
    <w:p w14:paraId="54158E76" w14:textId="77777777" w:rsidR="00911B7F" w:rsidRDefault="00911B7F" w:rsidP="00911B7F">
      <w:pPr>
        <w:spacing w:after="0"/>
        <w:rPr>
          <w:rFonts w:cs="Arial"/>
          <w:szCs w:val="24"/>
        </w:rPr>
      </w:pPr>
    </w:p>
    <w:p w14:paraId="0F69CFE0" w14:textId="6B507D71" w:rsidR="007706F2" w:rsidRPr="007706F2" w:rsidRDefault="007706F2" w:rsidP="007706F2">
      <w:pPr>
        <w:spacing w:after="0"/>
        <w:rPr>
          <w:rFonts w:cs="Arial"/>
          <w:szCs w:val="24"/>
        </w:rPr>
      </w:pPr>
      <w:r w:rsidRPr="007706F2">
        <w:rPr>
          <w:rFonts w:cs="Arial"/>
          <w:szCs w:val="24"/>
        </w:rPr>
        <w:t xml:space="preserve">The governance of the Somerset Music Education Hub will be through the </w:t>
      </w:r>
      <w:r w:rsidR="00AC05C8">
        <w:rPr>
          <w:rFonts w:cs="Arial"/>
          <w:szCs w:val="24"/>
        </w:rPr>
        <w:t xml:space="preserve">appropriate Local Authority </w:t>
      </w:r>
      <w:r w:rsidRPr="007706F2">
        <w:rPr>
          <w:rFonts w:cs="Arial"/>
          <w:szCs w:val="24"/>
        </w:rPr>
        <w:t>Board</w:t>
      </w:r>
      <w:r w:rsidR="00AC05C8">
        <w:rPr>
          <w:rFonts w:cs="Arial"/>
          <w:szCs w:val="24"/>
        </w:rPr>
        <w:t xml:space="preserve"> in place at the time. This is currently the Somerset Education Partnership </w:t>
      </w:r>
      <w:r w:rsidRPr="007706F2">
        <w:rPr>
          <w:rFonts w:cs="Arial"/>
          <w:szCs w:val="24"/>
        </w:rPr>
        <w:t>(SEPB) for Children and Young People</w:t>
      </w:r>
      <w:r w:rsidR="00AC05C8">
        <w:rPr>
          <w:rFonts w:cs="Arial"/>
          <w:szCs w:val="24"/>
        </w:rPr>
        <w:t xml:space="preserve"> which is</w:t>
      </w:r>
      <w:r w:rsidRPr="007706F2">
        <w:rPr>
          <w:rFonts w:cs="Arial"/>
          <w:szCs w:val="24"/>
        </w:rPr>
        <w:t xml:space="preserve"> an existing structure with its own terms of reference, remit and governance.  It has schools in a majority and links very closely with other bodies such as Somerset’s Schools Forum.  It is a vehicle for joint working for all schools and other partners underpinned by a firm commitment to the fundamental moral purpose that collectively and individually we should make a difference to the lives of children and young people.</w:t>
      </w:r>
    </w:p>
    <w:p w14:paraId="6958718E" w14:textId="77777777" w:rsidR="007706F2" w:rsidRPr="007706F2" w:rsidRDefault="007706F2" w:rsidP="007706F2">
      <w:pPr>
        <w:spacing w:after="0"/>
        <w:rPr>
          <w:rFonts w:cs="Arial"/>
          <w:szCs w:val="24"/>
        </w:rPr>
      </w:pPr>
    </w:p>
    <w:p w14:paraId="0B32F93D" w14:textId="77777777" w:rsidR="00F969AB" w:rsidRDefault="007706F2" w:rsidP="00911B7F">
      <w:pPr>
        <w:spacing w:after="0"/>
        <w:rPr>
          <w:rFonts w:cs="Arial"/>
          <w:szCs w:val="24"/>
        </w:rPr>
      </w:pPr>
      <w:r w:rsidRPr="007706F2">
        <w:rPr>
          <w:rFonts w:cs="Arial"/>
          <w:szCs w:val="24"/>
        </w:rPr>
        <w:t>The Somerset Music Education Hub report</w:t>
      </w:r>
      <w:r w:rsidR="00AC05C8">
        <w:rPr>
          <w:rFonts w:cs="Arial"/>
          <w:szCs w:val="24"/>
        </w:rPr>
        <w:t>s and is</w:t>
      </w:r>
      <w:r w:rsidRPr="007706F2">
        <w:rPr>
          <w:rFonts w:cs="Arial"/>
          <w:szCs w:val="24"/>
        </w:rPr>
        <w:t xml:space="preserve"> accountable to the </w:t>
      </w:r>
      <w:r w:rsidR="00AC05C8">
        <w:rPr>
          <w:rFonts w:cs="Arial"/>
          <w:szCs w:val="24"/>
        </w:rPr>
        <w:t xml:space="preserve">SEPB </w:t>
      </w:r>
      <w:r w:rsidRPr="007706F2">
        <w:rPr>
          <w:rFonts w:cs="Arial"/>
          <w:szCs w:val="24"/>
        </w:rPr>
        <w:t>on matters of educational outcomes and raising achievement and links to strategic education vision, plans and policies.  It report</w:t>
      </w:r>
      <w:r w:rsidR="00AC05C8">
        <w:rPr>
          <w:rFonts w:cs="Arial"/>
          <w:szCs w:val="24"/>
        </w:rPr>
        <w:t>s</w:t>
      </w:r>
      <w:r w:rsidRPr="007706F2">
        <w:rPr>
          <w:rFonts w:cs="Arial"/>
          <w:szCs w:val="24"/>
        </w:rPr>
        <w:t xml:space="preserve"> to this group as part of its annual schedule of meetings with progress reports.  </w:t>
      </w:r>
    </w:p>
    <w:p w14:paraId="13AF67D5" w14:textId="6FD64C1D" w:rsidR="004325A5" w:rsidRPr="00911B7F" w:rsidRDefault="00C96C3A" w:rsidP="00911B7F">
      <w:pPr>
        <w:spacing w:after="0"/>
        <w:rPr>
          <w:rFonts w:cs="Arial"/>
          <w:szCs w:val="24"/>
        </w:rPr>
      </w:pPr>
      <w:r w:rsidRPr="00911B7F">
        <w:rPr>
          <w:rFonts w:cs="Arial"/>
          <w:szCs w:val="24"/>
        </w:rPr>
        <w:t xml:space="preserve">The Hub </w:t>
      </w:r>
      <w:r w:rsidR="00B175DD" w:rsidRPr="00911B7F">
        <w:rPr>
          <w:rFonts w:cs="Arial"/>
          <w:szCs w:val="24"/>
        </w:rPr>
        <w:t xml:space="preserve">Management </w:t>
      </w:r>
      <w:r w:rsidRPr="00911B7F">
        <w:rPr>
          <w:rFonts w:cs="Arial"/>
          <w:szCs w:val="24"/>
        </w:rPr>
        <w:t xml:space="preserve">Board </w:t>
      </w:r>
      <w:r w:rsidR="007706F2">
        <w:rPr>
          <w:rFonts w:cs="Arial"/>
          <w:szCs w:val="24"/>
        </w:rPr>
        <w:t>therefore is not legally constituted but still has a crucial function</w:t>
      </w:r>
      <w:r w:rsidRPr="00911B7F">
        <w:rPr>
          <w:rFonts w:cs="Arial"/>
          <w:szCs w:val="24"/>
        </w:rPr>
        <w:t xml:space="preserve"> as an advisory board. Its purpose is to provide ‘</w:t>
      </w:r>
      <w:r w:rsidR="00984C36" w:rsidRPr="00911B7F">
        <w:rPr>
          <w:rFonts w:cs="Arial"/>
          <w:szCs w:val="24"/>
        </w:rPr>
        <w:t xml:space="preserve">strategic vision’ </w:t>
      </w:r>
      <w:proofErr w:type="gramStart"/>
      <w:r w:rsidR="00984C36" w:rsidRPr="00911B7F">
        <w:rPr>
          <w:rFonts w:cs="Arial"/>
          <w:szCs w:val="24"/>
        </w:rPr>
        <w:t>in order to</w:t>
      </w:r>
      <w:proofErr w:type="gramEnd"/>
      <w:r w:rsidR="00984C36" w:rsidRPr="00911B7F">
        <w:rPr>
          <w:rFonts w:cs="Arial"/>
          <w:szCs w:val="24"/>
        </w:rPr>
        <w:t xml:space="preserve"> </w:t>
      </w:r>
      <w:r w:rsidRPr="00911B7F">
        <w:rPr>
          <w:rFonts w:cs="Arial"/>
          <w:szCs w:val="24"/>
        </w:rPr>
        <w:lastRenderedPageBreak/>
        <w:t>develop and enhance the musical education offer to all ch</w:t>
      </w:r>
      <w:r w:rsidR="004325A5" w:rsidRPr="00911B7F">
        <w:rPr>
          <w:rFonts w:cs="Arial"/>
          <w:szCs w:val="24"/>
        </w:rPr>
        <w:t>ildren and young people in Somerset</w:t>
      </w:r>
      <w:r w:rsidR="00A325CA" w:rsidRPr="00911B7F">
        <w:rPr>
          <w:rFonts w:cs="Arial"/>
          <w:szCs w:val="24"/>
        </w:rPr>
        <w:t xml:space="preserve">, </w:t>
      </w:r>
      <w:r w:rsidR="004325A5" w:rsidRPr="00911B7F">
        <w:rPr>
          <w:rFonts w:cs="Arial"/>
          <w:szCs w:val="24"/>
        </w:rPr>
        <w:t xml:space="preserve">to </w:t>
      </w:r>
      <w:r w:rsidRPr="00911B7F">
        <w:rPr>
          <w:rFonts w:cs="Arial"/>
          <w:szCs w:val="24"/>
        </w:rPr>
        <w:t xml:space="preserve">advocate on behalf of the Hub, </w:t>
      </w:r>
      <w:r w:rsidR="00A325CA" w:rsidRPr="00911B7F">
        <w:rPr>
          <w:rFonts w:cs="Arial"/>
          <w:szCs w:val="24"/>
        </w:rPr>
        <w:t xml:space="preserve">and </w:t>
      </w:r>
      <w:r w:rsidRPr="00911B7F">
        <w:rPr>
          <w:rFonts w:cs="Arial"/>
          <w:szCs w:val="24"/>
        </w:rPr>
        <w:t>to advise on the use of the De</w:t>
      </w:r>
      <w:r w:rsidR="004325A5" w:rsidRPr="00911B7F">
        <w:rPr>
          <w:rFonts w:cs="Arial"/>
          <w:szCs w:val="24"/>
        </w:rPr>
        <w:t xml:space="preserve">partment for Education grant in </w:t>
      </w:r>
      <w:r w:rsidRPr="00911B7F">
        <w:rPr>
          <w:rFonts w:cs="Arial"/>
          <w:szCs w:val="24"/>
        </w:rPr>
        <w:t>delivering the National Plan for Music Education. To support and inform the work of the Hub Board</w:t>
      </w:r>
      <w:r w:rsidR="00A325CA" w:rsidRPr="00911B7F">
        <w:rPr>
          <w:rFonts w:cs="Arial"/>
          <w:szCs w:val="24"/>
        </w:rPr>
        <w:t>,</w:t>
      </w:r>
      <w:r w:rsidRPr="00911B7F">
        <w:rPr>
          <w:rFonts w:cs="Arial"/>
          <w:szCs w:val="24"/>
        </w:rPr>
        <w:t xml:space="preserve"> occasional small</w:t>
      </w:r>
      <w:r w:rsidR="00B175DD" w:rsidRPr="00911B7F">
        <w:rPr>
          <w:rFonts w:cs="Arial"/>
          <w:szCs w:val="24"/>
        </w:rPr>
        <w:t>er working groups will be</w:t>
      </w:r>
      <w:r w:rsidR="004325A5" w:rsidRPr="00911B7F">
        <w:rPr>
          <w:rFonts w:cs="Arial"/>
          <w:szCs w:val="24"/>
        </w:rPr>
        <w:t xml:space="preserve"> set-up to </w:t>
      </w:r>
      <w:r w:rsidRPr="00911B7F">
        <w:rPr>
          <w:rFonts w:cs="Arial"/>
          <w:szCs w:val="24"/>
        </w:rPr>
        <w:t>discuss specific areas of either music education related to the ‘core’</w:t>
      </w:r>
      <w:r w:rsidR="004325A5" w:rsidRPr="00911B7F">
        <w:rPr>
          <w:rFonts w:cs="Arial"/>
          <w:szCs w:val="24"/>
        </w:rPr>
        <w:t xml:space="preserve"> and ‘extension’ roles or other </w:t>
      </w:r>
      <w:r w:rsidRPr="00911B7F">
        <w:rPr>
          <w:rFonts w:cs="Arial"/>
          <w:szCs w:val="24"/>
        </w:rPr>
        <w:t>more specific area</w:t>
      </w:r>
      <w:r w:rsidR="00B175DD" w:rsidRPr="00911B7F">
        <w:rPr>
          <w:rFonts w:cs="Arial"/>
          <w:szCs w:val="24"/>
        </w:rPr>
        <w:t>s of future strategic planning.</w:t>
      </w:r>
    </w:p>
    <w:p w14:paraId="61EFD327" w14:textId="77777777" w:rsidR="00FF3E4A" w:rsidRPr="00911B7F" w:rsidRDefault="00FF3E4A" w:rsidP="00911B7F">
      <w:pPr>
        <w:spacing w:after="0"/>
        <w:rPr>
          <w:rFonts w:cs="Arial"/>
          <w:b/>
          <w:szCs w:val="24"/>
        </w:rPr>
      </w:pPr>
    </w:p>
    <w:p w14:paraId="6515D9B0" w14:textId="5A072F90" w:rsidR="00C96C3A" w:rsidRDefault="00C96C3A" w:rsidP="00911B7F">
      <w:pPr>
        <w:spacing w:after="0"/>
        <w:rPr>
          <w:rFonts w:cs="Arial"/>
          <w:b/>
          <w:szCs w:val="24"/>
        </w:rPr>
      </w:pPr>
      <w:r w:rsidRPr="00911B7F">
        <w:rPr>
          <w:rFonts w:cs="Arial"/>
          <w:b/>
          <w:szCs w:val="24"/>
        </w:rPr>
        <w:t>ROLE DESCRIPTION</w:t>
      </w:r>
    </w:p>
    <w:p w14:paraId="60B89A53" w14:textId="77777777" w:rsidR="00911B7F" w:rsidRPr="00911B7F" w:rsidRDefault="00911B7F" w:rsidP="00911B7F">
      <w:pPr>
        <w:spacing w:after="0"/>
        <w:rPr>
          <w:rFonts w:cs="Arial"/>
          <w:b/>
          <w:szCs w:val="24"/>
        </w:rPr>
      </w:pPr>
    </w:p>
    <w:p w14:paraId="124D2196" w14:textId="77777777" w:rsidR="00C96C3A" w:rsidRPr="00911B7F" w:rsidRDefault="00C96C3A" w:rsidP="00911B7F">
      <w:pPr>
        <w:pStyle w:val="ListParagraph"/>
        <w:numPr>
          <w:ilvl w:val="0"/>
          <w:numId w:val="1"/>
        </w:numPr>
        <w:spacing w:after="0"/>
        <w:rPr>
          <w:rFonts w:cs="Arial"/>
          <w:szCs w:val="24"/>
        </w:rPr>
      </w:pPr>
      <w:r w:rsidRPr="00911B7F">
        <w:rPr>
          <w:rFonts w:cs="Arial"/>
          <w:szCs w:val="24"/>
        </w:rPr>
        <w:t>The Chair will lead the Board through scrutiny, oversight and advice p</w:t>
      </w:r>
      <w:r w:rsidR="004325A5" w:rsidRPr="00911B7F">
        <w:rPr>
          <w:rFonts w:cs="Arial"/>
          <w:szCs w:val="24"/>
        </w:rPr>
        <w:t xml:space="preserve">roviding challenge and focus to </w:t>
      </w:r>
      <w:r w:rsidRPr="00911B7F">
        <w:rPr>
          <w:rFonts w:cs="Arial"/>
          <w:szCs w:val="24"/>
        </w:rPr>
        <w:t>help focus positive outcomes and decisions fo</w:t>
      </w:r>
      <w:r w:rsidR="00B175DD" w:rsidRPr="00911B7F">
        <w:rPr>
          <w:rFonts w:cs="Arial"/>
          <w:szCs w:val="24"/>
        </w:rPr>
        <w:t>r our children and young people;</w:t>
      </w:r>
    </w:p>
    <w:p w14:paraId="340E3981" w14:textId="4DDF04B9" w:rsidR="00C96C3A" w:rsidRPr="00911B7F" w:rsidRDefault="00C96C3A" w:rsidP="00911B7F">
      <w:pPr>
        <w:pStyle w:val="ListParagraph"/>
        <w:numPr>
          <w:ilvl w:val="0"/>
          <w:numId w:val="1"/>
        </w:numPr>
        <w:spacing w:after="0"/>
        <w:rPr>
          <w:rFonts w:cs="Arial"/>
          <w:szCs w:val="24"/>
        </w:rPr>
      </w:pPr>
      <w:r w:rsidRPr="00911B7F">
        <w:rPr>
          <w:rFonts w:cs="Arial"/>
          <w:szCs w:val="24"/>
        </w:rPr>
        <w:t>The Chair will work closely with the</w:t>
      </w:r>
      <w:r w:rsidR="00B175DD" w:rsidRPr="00911B7F">
        <w:rPr>
          <w:rFonts w:cs="Arial"/>
          <w:szCs w:val="24"/>
        </w:rPr>
        <w:t xml:space="preserve"> Lead Officer for Sound Foundation Somerset</w:t>
      </w:r>
      <w:r w:rsidR="004325A5" w:rsidRPr="00911B7F">
        <w:rPr>
          <w:rFonts w:cs="Arial"/>
          <w:szCs w:val="24"/>
        </w:rPr>
        <w:t>,</w:t>
      </w:r>
      <w:r w:rsidR="00B175DD" w:rsidRPr="00911B7F">
        <w:rPr>
          <w:rFonts w:cs="Arial"/>
          <w:szCs w:val="24"/>
        </w:rPr>
        <w:t xml:space="preserve"> to enable a shared understanding of the main issues affecting the operation of the hub and to ensure that adequate time is allocated at each meeting to enable meaningful discussion and debate on key strategic issues;</w:t>
      </w:r>
    </w:p>
    <w:p w14:paraId="20C0E4AE" w14:textId="5DD648A9" w:rsidR="00C96C3A" w:rsidRPr="00911B7F" w:rsidRDefault="00C96C3A" w:rsidP="00911B7F">
      <w:pPr>
        <w:pStyle w:val="ListParagraph"/>
        <w:numPr>
          <w:ilvl w:val="0"/>
          <w:numId w:val="1"/>
        </w:numPr>
        <w:spacing w:after="0"/>
        <w:rPr>
          <w:rFonts w:cs="Arial"/>
          <w:szCs w:val="24"/>
        </w:rPr>
      </w:pPr>
      <w:r w:rsidRPr="00911B7F">
        <w:rPr>
          <w:rFonts w:cs="Arial"/>
          <w:szCs w:val="24"/>
        </w:rPr>
        <w:t>The Chair will also promote a culture of openness and debate by facilita</w:t>
      </w:r>
      <w:r w:rsidR="004325A5" w:rsidRPr="00911B7F">
        <w:rPr>
          <w:rFonts w:cs="Arial"/>
          <w:szCs w:val="24"/>
        </w:rPr>
        <w:t xml:space="preserve">ting the effective contribution </w:t>
      </w:r>
      <w:r w:rsidRPr="00911B7F">
        <w:rPr>
          <w:rFonts w:cs="Arial"/>
          <w:szCs w:val="24"/>
        </w:rPr>
        <w:t xml:space="preserve">of all partner representatives and ensuring constructive relations between the </w:t>
      </w:r>
      <w:r w:rsidR="004325A5" w:rsidRPr="00911B7F">
        <w:rPr>
          <w:rFonts w:cs="Arial"/>
          <w:szCs w:val="24"/>
        </w:rPr>
        <w:t xml:space="preserve">Lead Organisation, </w:t>
      </w:r>
      <w:r w:rsidR="00617E27" w:rsidRPr="00911B7F">
        <w:rPr>
          <w:rFonts w:cs="Arial"/>
          <w:szCs w:val="24"/>
        </w:rPr>
        <w:t xml:space="preserve">delivery </w:t>
      </w:r>
      <w:r w:rsidRPr="00911B7F">
        <w:rPr>
          <w:rFonts w:cs="Arial"/>
          <w:szCs w:val="24"/>
        </w:rPr>
        <w:t>partner</w:t>
      </w:r>
      <w:r w:rsidR="00505189" w:rsidRPr="00911B7F">
        <w:rPr>
          <w:rFonts w:cs="Arial"/>
          <w:szCs w:val="24"/>
        </w:rPr>
        <w:t>s</w:t>
      </w:r>
      <w:r w:rsidRPr="00911B7F">
        <w:rPr>
          <w:rFonts w:cs="Arial"/>
          <w:szCs w:val="24"/>
        </w:rPr>
        <w:t xml:space="preserve"> and stakeholder representatives.</w:t>
      </w:r>
    </w:p>
    <w:p w14:paraId="2311A062" w14:textId="77777777" w:rsidR="004325A5" w:rsidRPr="00911B7F" w:rsidRDefault="00B175DD" w:rsidP="00911B7F">
      <w:pPr>
        <w:pStyle w:val="ListParagraph"/>
        <w:numPr>
          <w:ilvl w:val="0"/>
          <w:numId w:val="1"/>
        </w:numPr>
        <w:spacing w:after="0"/>
        <w:rPr>
          <w:rFonts w:cs="Arial"/>
          <w:szCs w:val="24"/>
        </w:rPr>
      </w:pPr>
      <w:r w:rsidRPr="00911B7F">
        <w:rPr>
          <w:rFonts w:cs="Arial"/>
          <w:szCs w:val="24"/>
        </w:rPr>
        <w:t xml:space="preserve">The </w:t>
      </w:r>
      <w:r w:rsidR="00C96C3A" w:rsidRPr="00911B7F">
        <w:rPr>
          <w:rFonts w:cs="Arial"/>
          <w:szCs w:val="24"/>
        </w:rPr>
        <w:t xml:space="preserve">Hub </w:t>
      </w:r>
      <w:r w:rsidRPr="00911B7F">
        <w:rPr>
          <w:rFonts w:cs="Arial"/>
          <w:szCs w:val="24"/>
        </w:rPr>
        <w:t>Board is an advisory body and is</w:t>
      </w:r>
      <w:r w:rsidR="00C96C3A" w:rsidRPr="00911B7F">
        <w:rPr>
          <w:rFonts w:cs="Arial"/>
          <w:szCs w:val="24"/>
        </w:rPr>
        <w:t xml:space="preserve"> no</w:t>
      </w:r>
      <w:r w:rsidRPr="00911B7F">
        <w:rPr>
          <w:rFonts w:cs="Arial"/>
          <w:szCs w:val="24"/>
        </w:rPr>
        <w:t xml:space="preserve">t constituted. It does </w:t>
      </w:r>
      <w:r w:rsidR="004325A5" w:rsidRPr="00911B7F">
        <w:rPr>
          <w:rFonts w:cs="Arial"/>
          <w:szCs w:val="24"/>
        </w:rPr>
        <w:t xml:space="preserve">not have </w:t>
      </w:r>
      <w:r w:rsidRPr="00911B7F">
        <w:rPr>
          <w:rFonts w:cs="Arial"/>
          <w:szCs w:val="24"/>
        </w:rPr>
        <w:t xml:space="preserve">a legal status and </w:t>
      </w:r>
      <w:r w:rsidR="00C96C3A" w:rsidRPr="00911B7F">
        <w:rPr>
          <w:rFonts w:cs="Arial"/>
          <w:szCs w:val="24"/>
        </w:rPr>
        <w:t>the role of Chair do</w:t>
      </w:r>
      <w:r w:rsidRPr="00911B7F">
        <w:rPr>
          <w:rFonts w:cs="Arial"/>
          <w:szCs w:val="24"/>
        </w:rPr>
        <w:t xml:space="preserve">es not carry the official legal </w:t>
      </w:r>
      <w:r w:rsidR="00C96C3A" w:rsidRPr="00911B7F">
        <w:rPr>
          <w:rFonts w:cs="Arial"/>
          <w:szCs w:val="24"/>
        </w:rPr>
        <w:t>respon</w:t>
      </w:r>
      <w:r w:rsidR="004325A5" w:rsidRPr="00911B7F">
        <w:rPr>
          <w:rFonts w:cs="Arial"/>
          <w:szCs w:val="24"/>
        </w:rPr>
        <w:t>sibilities of the Hub lead role.</w:t>
      </w:r>
    </w:p>
    <w:p w14:paraId="0F13A025" w14:textId="77777777" w:rsidR="00A325CA" w:rsidRPr="00911B7F" w:rsidRDefault="00A325CA" w:rsidP="00911B7F">
      <w:pPr>
        <w:spacing w:after="0"/>
        <w:rPr>
          <w:rFonts w:cs="Arial"/>
          <w:b/>
          <w:szCs w:val="24"/>
        </w:rPr>
      </w:pPr>
    </w:p>
    <w:p w14:paraId="764299C7" w14:textId="25055B63" w:rsidR="00B175DD" w:rsidRDefault="00B175DD" w:rsidP="00911B7F">
      <w:pPr>
        <w:spacing w:after="0"/>
        <w:rPr>
          <w:rFonts w:cs="Arial"/>
          <w:b/>
          <w:szCs w:val="24"/>
        </w:rPr>
      </w:pPr>
      <w:r w:rsidRPr="00911B7F">
        <w:rPr>
          <w:rFonts w:cs="Arial"/>
          <w:b/>
          <w:szCs w:val="24"/>
        </w:rPr>
        <w:t>KEY RESPONSIBILITIES</w:t>
      </w:r>
    </w:p>
    <w:p w14:paraId="598FBAC2" w14:textId="77777777" w:rsidR="00911B7F" w:rsidRPr="00911B7F" w:rsidRDefault="00911B7F" w:rsidP="00911B7F">
      <w:pPr>
        <w:spacing w:after="0"/>
        <w:rPr>
          <w:rFonts w:cs="Arial"/>
          <w:b/>
          <w:szCs w:val="24"/>
        </w:rPr>
      </w:pPr>
    </w:p>
    <w:p w14:paraId="741260C0" w14:textId="7EF35D57" w:rsidR="00C96C3A" w:rsidRPr="00911B7F" w:rsidRDefault="00C96C3A" w:rsidP="00911B7F">
      <w:pPr>
        <w:pStyle w:val="ListParagraph"/>
        <w:numPr>
          <w:ilvl w:val="0"/>
          <w:numId w:val="3"/>
        </w:numPr>
        <w:spacing w:after="0"/>
        <w:rPr>
          <w:rFonts w:cs="Arial"/>
          <w:szCs w:val="24"/>
        </w:rPr>
      </w:pPr>
      <w:r w:rsidRPr="00911B7F">
        <w:rPr>
          <w:rFonts w:cs="Arial"/>
          <w:szCs w:val="24"/>
        </w:rPr>
        <w:t>The Chair will be responsible for keeping meetings focused and prod</w:t>
      </w:r>
      <w:r w:rsidR="004325A5" w:rsidRPr="00911B7F">
        <w:rPr>
          <w:rFonts w:cs="Arial"/>
          <w:szCs w:val="24"/>
        </w:rPr>
        <w:t xml:space="preserve">uctive, ensuring that all Board </w:t>
      </w:r>
      <w:r w:rsidRPr="00911B7F">
        <w:rPr>
          <w:rFonts w:cs="Arial"/>
          <w:szCs w:val="24"/>
        </w:rPr>
        <w:t>members feel engaged and can contribute openly and constructively.</w:t>
      </w:r>
    </w:p>
    <w:p w14:paraId="5950D1C2" w14:textId="77777777" w:rsidR="00A325CA" w:rsidRPr="00911B7F" w:rsidRDefault="00A325CA" w:rsidP="00911B7F">
      <w:pPr>
        <w:pStyle w:val="ListParagraph"/>
        <w:spacing w:after="0"/>
        <w:rPr>
          <w:rFonts w:cs="Arial"/>
          <w:szCs w:val="24"/>
        </w:rPr>
      </w:pPr>
    </w:p>
    <w:p w14:paraId="00169087" w14:textId="77777777" w:rsidR="00C96C3A" w:rsidRPr="00911B7F" w:rsidRDefault="00C96C3A" w:rsidP="00911B7F">
      <w:pPr>
        <w:pStyle w:val="ListParagraph"/>
        <w:numPr>
          <w:ilvl w:val="0"/>
          <w:numId w:val="3"/>
        </w:numPr>
        <w:spacing w:after="0"/>
        <w:rPr>
          <w:rFonts w:cs="Arial"/>
          <w:szCs w:val="24"/>
        </w:rPr>
      </w:pPr>
      <w:r w:rsidRPr="00911B7F">
        <w:rPr>
          <w:rFonts w:cs="Arial"/>
          <w:szCs w:val="24"/>
        </w:rPr>
        <w:t>The Chair will be required to:</w:t>
      </w:r>
    </w:p>
    <w:p w14:paraId="7CB3385F" w14:textId="4BCEB74C" w:rsidR="00C96C3A" w:rsidRPr="00911B7F" w:rsidRDefault="00C96C3A" w:rsidP="00911B7F">
      <w:pPr>
        <w:pStyle w:val="ListParagraph"/>
        <w:numPr>
          <w:ilvl w:val="1"/>
          <w:numId w:val="3"/>
        </w:numPr>
        <w:spacing w:after="0"/>
        <w:rPr>
          <w:rFonts w:cs="Arial"/>
          <w:szCs w:val="24"/>
        </w:rPr>
      </w:pPr>
      <w:r w:rsidRPr="00911B7F">
        <w:rPr>
          <w:rFonts w:cs="Arial"/>
          <w:szCs w:val="24"/>
        </w:rPr>
        <w:t>Cha</w:t>
      </w:r>
      <w:r w:rsidR="004325A5" w:rsidRPr="00911B7F">
        <w:rPr>
          <w:rFonts w:cs="Arial"/>
          <w:szCs w:val="24"/>
        </w:rPr>
        <w:t>ir 4</w:t>
      </w:r>
      <w:r w:rsidRPr="00911B7F">
        <w:rPr>
          <w:rFonts w:cs="Arial"/>
          <w:szCs w:val="24"/>
        </w:rPr>
        <w:t xml:space="preserve"> Hub meetings a year in </w:t>
      </w:r>
      <w:r w:rsidR="004325A5" w:rsidRPr="00911B7F">
        <w:rPr>
          <w:rFonts w:cs="Arial"/>
          <w:szCs w:val="24"/>
        </w:rPr>
        <w:t>Taunton</w:t>
      </w:r>
      <w:r w:rsidR="00AE7577">
        <w:rPr>
          <w:rFonts w:cs="Arial"/>
          <w:szCs w:val="24"/>
        </w:rPr>
        <w:t xml:space="preserve"> – the current format is a meeting of the Hub Board followed by a joint meeting of Hub Board and Delivery Partners</w:t>
      </w:r>
      <w:r w:rsidR="004325A5" w:rsidRPr="00911B7F">
        <w:rPr>
          <w:rFonts w:cs="Arial"/>
          <w:szCs w:val="24"/>
        </w:rPr>
        <w:t>;</w:t>
      </w:r>
    </w:p>
    <w:p w14:paraId="02869099" w14:textId="77777777" w:rsidR="00C96C3A" w:rsidRPr="00911B7F" w:rsidRDefault="00C96C3A" w:rsidP="00911B7F">
      <w:pPr>
        <w:pStyle w:val="ListParagraph"/>
        <w:numPr>
          <w:ilvl w:val="1"/>
          <w:numId w:val="3"/>
        </w:numPr>
        <w:spacing w:after="0"/>
        <w:rPr>
          <w:rFonts w:cs="Arial"/>
          <w:szCs w:val="24"/>
        </w:rPr>
      </w:pPr>
      <w:r w:rsidRPr="00911B7F">
        <w:rPr>
          <w:rFonts w:cs="Arial"/>
          <w:szCs w:val="24"/>
        </w:rPr>
        <w:t xml:space="preserve">Deal with email and phone communications with the Music Education Hub Lead </w:t>
      </w:r>
      <w:r w:rsidR="00B175DD" w:rsidRPr="00911B7F">
        <w:rPr>
          <w:rFonts w:cs="Arial"/>
          <w:szCs w:val="24"/>
        </w:rPr>
        <w:t xml:space="preserve">Officer, </w:t>
      </w:r>
      <w:r w:rsidRPr="00911B7F">
        <w:rPr>
          <w:rFonts w:cs="Arial"/>
          <w:szCs w:val="24"/>
        </w:rPr>
        <w:t>i</w:t>
      </w:r>
      <w:r w:rsidR="00B175DD" w:rsidRPr="00911B7F">
        <w:rPr>
          <w:rFonts w:cs="Arial"/>
          <w:szCs w:val="24"/>
        </w:rPr>
        <w:t>ncluding a pre-meeting briefing;</w:t>
      </w:r>
    </w:p>
    <w:p w14:paraId="7F65F70C" w14:textId="77777777" w:rsidR="00C96C3A" w:rsidRPr="00911B7F" w:rsidRDefault="00C96C3A" w:rsidP="00911B7F">
      <w:pPr>
        <w:pStyle w:val="ListParagraph"/>
        <w:numPr>
          <w:ilvl w:val="1"/>
          <w:numId w:val="3"/>
        </w:numPr>
        <w:spacing w:after="0"/>
        <w:rPr>
          <w:rFonts w:cs="Arial"/>
          <w:szCs w:val="24"/>
        </w:rPr>
      </w:pPr>
      <w:r w:rsidRPr="00911B7F">
        <w:rPr>
          <w:rFonts w:cs="Arial"/>
          <w:szCs w:val="24"/>
        </w:rPr>
        <w:t>Read and understand a variety of information, documentation and emai</w:t>
      </w:r>
      <w:r w:rsidR="004325A5" w:rsidRPr="00911B7F">
        <w:rPr>
          <w:rFonts w:cs="Arial"/>
          <w:szCs w:val="24"/>
        </w:rPr>
        <w:t xml:space="preserve">ls in preparation for </w:t>
      </w:r>
      <w:r w:rsidR="00B175DD" w:rsidRPr="00911B7F">
        <w:rPr>
          <w:rFonts w:cs="Arial"/>
          <w:szCs w:val="24"/>
        </w:rPr>
        <w:t>meetings;</w:t>
      </w:r>
    </w:p>
    <w:p w14:paraId="05C393C8" w14:textId="77777777" w:rsidR="00C96C3A" w:rsidRPr="00911B7F" w:rsidRDefault="00C96C3A" w:rsidP="00911B7F">
      <w:pPr>
        <w:pStyle w:val="ListParagraph"/>
        <w:numPr>
          <w:ilvl w:val="1"/>
          <w:numId w:val="3"/>
        </w:numPr>
        <w:spacing w:after="0"/>
        <w:rPr>
          <w:rFonts w:cs="Arial"/>
          <w:szCs w:val="24"/>
        </w:rPr>
      </w:pPr>
      <w:r w:rsidRPr="00911B7F">
        <w:rPr>
          <w:rFonts w:cs="Arial"/>
          <w:szCs w:val="24"/>
        </w:rPr>
        <w:t xml:space="preserve">Support the development of the </w:t>
      </w:r>
      <w:r w:rsidR="004325A5" w:rsidRPr="00911B7F">
        <w:rPr>
          <w:rFonts w:cs="Arial"/>
          <w:szCs w:val="24"/>
        </w:rPr>
        <w:t xml:space="preserve">Somerset </w:t>
      </w:r>
      <w:r w:rsidR="00B175DD" w:rsidRPr="00911B7F">
        <w:rPr>
          <w:rFonts w:cs="Arial"/>
          <w:szCs w:val="24"/>
        </w:rPr>
        <w:t>Music Education Hub;</w:t>
      </w:r>
    </w:p>
    <w:p w14:paraId="3B0912FC" w14:textId="1D9C46CB" w:rsidR="00C96C3A" w:rsidRPr="00911B7F" w:rsidRDefault="00C96C3A" w:rsidP="00911B7F">
      <w:pPr>
        <w:pStyle w:val="ListParagraph"/>
        <w:numPr>
          <w:ilvl w:val="1"/>
          <w:numId w:val="3"/>
        </w:numPr>
        <w:spacing w:after="0"/>
        <w:rPr>
          <w:rFonts w:cs="Arial"/>
          <w:szCs w:val="24"/>
        </w:rPr>
      </w:pPr>
      <w:r w:rsidRPr="00911B7F">
        <w:rPr>
          <w:rFonts w:cs="Arial"/>
          <w:szCs w:val="24"/>
        </w:rPr>
        <w:t>Act as a critical friend to the</w:t>
      </w:r>
      <w:r w:rsidR="00B175DD" w:rsidRPr="00911B7F">
        <w:rPr>
          <w:rFonts w:cs="Arial"/>
          <w:szCs w:val="24"/>
        </w:rPr>
        <w:t xml:space="preserve"> Hub and to the Hub Lead Officer</w:t>
      </w:r>
      <w:r w:rsidR="004325A5" w:rsidRPr="00911B7F">
        <w:rPr>
          <w:rFonts w:cs="Arial"/>
          <w:szCs w:val="24"/>
        </w:rPr>
        <w:t xml:space="preserve">, advising and challenging </w:t>
      </w:r>
      <w:r w:rsidR="00B175DD" w:rsidRPr="00911B7F">
        <w:rPr>
          <w:rFonts w:cs="Arial"/>
          <w:szCs w:val="24"/>
        </w:rPr>
        <w:t>where necessary and appropriate;</w:t>
      </w:r>
    </w:p>
    <w:p w14:paraId="662A1148" w14:textId="3951ED94" w:rsidR="00C96C3A" w:rsidRDefault="00C96C3A" w:rsidP="00911B7F">
      <w:pPr>
        <w:pStyle w:val="ListParagraph"/>
        <w:numPr>
          <w:ilvl w:val="1"/>
          <w:numId w:val="3"/>
        </w:numPr>
        <w:spacing w:after="0"/>
        <w:rPr>
          <w:rFonts w:cs="Arial"/>
          <w:szCs w:val="24"/>
        </w:rPr>
      </w:pPr>
      <w:r w:rsidRPr="00911B7F">
        <w:rPr>
          <w:rFonts w:cs="Arial"/>
          <w:szCs w:val="24"/>
        </w:rPr>
        <w:t>Represent/attend additional key meetings on behalf of the Hub as appropriate.</w:t>
      </w:r>
    </w:p>
    <w:p w14:paraId="76E5D8C9" w14:textId="47EA79A4" w:rsidR="00C96C3A" w:rsidRPr="00911B7F" w:rsidRDefault="003C2604" w:rsidP="00911B7F">
      <w:pPr>
        <w:pStyle w:val="ListParagraph"/>
        <w:numPr>
          <w:ilvl w:val="0"/>
          <w:numId w:val="3"/>
        </w:numPr>
        <w:spacing w:after="0"/>
        <w:rPr>
          <w:rFonts w:cs="Arial"/>
          <w:szCs w:val="24"/>
        </w:rPr>
      </w:pPr>
      <w:r w:rsidRPr="00911B7F">
        <w:rPr>
          <w:rFonts w:cs="Arial"/>
          <w:szCs w:val="24"/>
        </w:rPr>
        <w:t xml:space="preserve">The Chair will be </w:t>
      </w:r>
      <w:r w:rsidR="00617E27" w:rsidRPr="00911B7F">
        <w:rPr>
          <w:rFonts w:cs="Arial"/>
          <w:szCs w:val="24"/>
        </w:rPr>
        <w:t>expected</w:t>
      </w:r>
      <w:r w:rsidRPr="00911B7F">
        <w:rPr>
          <w:rFonts w:cs="Arial"/>
          <w:szCs w:val="24"/>
        </w:rPr>
        <w:t xml:space="preserve"> to a</w:t>
      </w:r>
      <w:r w:rsidR="00C96C3A" w:rsidRPr="00911B7F">
        <w:rPr>
          <w:rFonts w:cs="Arial"/>
          <w:szCs w:val="24"/>
        </w:rPr>
        <w:t xml:space="preserve">ttend performances, </w:t>
      </w:r>
      <w:r w:rsidR="00617E27" w:rsidRPr="00911B7F">
        <w:rPr>
          <w:rFonts w:cs="Arial"/>
          <w:szCs w:val="24"/>
        </w:rPr>
        <w:t xml:space="preserve">signature </w:t>
      </w:r>
      <w:r w:rsidR="00C96C3A" w:rsidRPr="00911B7F">
        <w:rPr>
          <w:rFonts w:cs="Arial"/>
          <w:szCs w:val="24"/>
        </w:rPr>
        <w:t>events, and conferences.</w:t>
      </w:r>
    </w:p>
    <w:p w14:paraId="56909117" w14:textId="77777777" w:rsidR="00FC6B3F" w:rsidRDefault="00FC6B3F" w:rsidP="00911B7F">
      <w:pPr>
        <w:spacing w:after="0"/>
        <w:rPr>
          <w:rFonts w:cs="Arial"/>
          <w:b/>
          <w:szCs w:val="24"/>
        </w:rPr>
      </w:pPr>
    </w:p>
    <w:p w14:paraId="6ABA8ADB" w14:textId="1B20DB7A" w:rsidR="00C96C3A" w:rsidRDefault="00C96C3A" w:rsidP="00911B7F">
      <w:pPr>
        <w:spacing w:after="0"/>
        <w:rPr>
          <w:rFonts w:cs="Arial"/>
          <w:b/>
          <w:szCs w:val="24"/>
        </w:rPr>
      </w:pPr>
      <w:r w:rsidRPr="00911B7F">
        <w:rPr>
          <w:rFonts w:cs="Arial"/>
          <w:b/>
          <w:szCs w:val="24"/>
        </w:rPr>
        <w:lastRenderedPageBreak/>
        <w:t>PERSONAL SPECIFICATION</w:t>
      </w:r>
    </w:p>
    <w:p w14:paraId="66671C85" w14:textId="77777777" w:rsidR="00911B7F" w:rsidRPr="00911B7F" w:rsidRDefault="00911B7F" w:rsidP="00911B7F">
      <w:pPr>
        <w:spacing w:after="0"/>
        <w:rPr>
          <w:rFonts w:cs="Arial"/>
          <w:b/>
          <w:szCs w:val="24"/>
        </w:rPr>
      </w:pPr>
    </w:p>
    <w:p w14:paraId="116DECDF" w14:textId="77777777" w:rsidR="00C96C3A" w:rsidRPr="00911B7F" w:rsidRDefault="00C96C3A" w:rsidP="00911B7F">
      <w:pPr>
        <w:spacing w:after="0"/>
        <w:rPr>
          <w:rFonts w:cs="Arial"/>
          <w:szCs w:val="24"/>
        </w:rPr>
      </w:pPr>
      <w:r w:rsidRPr="00911B7F">
        <w:rPr>
          <w:rFonts w:cs="Arial"/>
          <w:szCs w:val="24"/>
        </w:rPr>
        <w:t>The Chair will need to have all or the majority of the following:</w:t>
      </w:r>
    </w:p>
    <w:p w14:paraId="4124DD69" w14:textId="6C0F077E" w:rsidR="003F524C" w:rsidRPr="00911B7F" w:rsidRDefault="003F524C" w:rsidP="00911B7F">
      <w:pPr>
        <w:pStyle w:val="ListParagraph"/>
        <w:numPr>
          <w:ilvl w:val="0"/>
          <w:numId w:val="2"/>
        </w:numPr>
        <w:spacing w:after="0"/>
        <w:rPr>
          <w:rFonts w:cs="Arial"/>
          <w:szCs w:val="24"/>
        </w:rPr>
      </w:pPr>
      <w:r w:rsidRPr="00911B7F">
        <w:rPr>
          <w:rFonts w:cs="Arial"/>
          <w:szCs w:val="24"/>
        </w:rPr>
        <w:t>An e</w:t>
      </w:r>
      <w:r w:rsidR="003C2604" w:rsidRPr="00911B7F">
        <w:rPr>
          <w:rFonts w:cs="Arial"/>
          <w:szCs w:val="24"/>
        </w:rPr>
        <w:t xml:space="preserve">nthusiastic and </w:t>
      </w:r>
      <w:r w:rsidRPr="00911B7F">
        <w:rPr>
          <w:rFonts w:cs="Arial"/>
          <w:szCs w:val="24"/>
        </w:rPr>
        <w:t>forward</w:t>
      </w:r>
      <w:r w:rsidR="00A325CA" w:rsidRPr="00911B7F">
        <w:rPr>
          <w:rFonts w:cs="Arial"/>
          <w:szCs w:val="24"/>
        </w:rPr>
        <w:t>-</w:t>
      </w:r>
      <w:r w:rsidRPr="00911B7F">
        <w:rPr>
          <w:rFonts w:cs="Arial"/>
          <w:szCs w:val="24"/>
        </w:rPr>
        <w:t>thinking working ethos, open to new ideas and opportunities</w:t>
      </w:r>
      <w:r w:rsidR="00A325CA" w:rsidRPr="00911B7F">
        <w:rPr>
          <w:rFonts w:cs="Arial"/>
          <w:szCs w:val="24"/>
        </w:rPr>
        <w:t>;</w:t>
      </w:r>
    </w:p>
    <w:p w14:paraId="3E4EDA0A" w14:textId="6D86F9CD" w:rsidR="003C2604" w:rsidRPr="00911B7F" w:rsidRDefault="003F524C" w:rsidP="00911B7F">
      <w:pPr>
        <w:pStyle w:val="ListParagraph"/>
        <w:numPr>
          <w:ilvl w:val="0"/>
          <w:numId w:val="2"/>
        </w:numPr>
        <w:spacing w:after="0"/>
        <w:rPr>
          <w:rFonts w:cs="Arial"/>
          <w:szCs w:val="24"/>
        </w:rPr>
      </w:pPr>
      <w:r w:rsidRPr="00911B7F">
        <w:rPr>
          <w:rFonts w:cs="Arial"/>
          <w:szCs w:val="24"/>
        </w:rPr>
        <w:t>A working knowledge of best practice governance and experience of driving a business forward</w:t>
      </w:r>
      <w:r w:rsidR="00A325CA" w:rsidRPr="00911B7F">
        <w:rPr>
          <w:rFonts w:cs="Arial"/>
          <w:szCs w:val="24"/>
        </w:rPr>
        <w:t>;</w:t>
      </w:r>
    </w:p>
    <w:p w14:paraId="720F83C0" w14:textId="60023BCE" w:rsidR="003C2604" w:rsidRPr="00911B7F" w:rsidRDefault="005A7BBB" w:rsidP="00911B7F">
      <w:pPr>
        <w:pStyle w:val="ListParagraph"/>
        <w:numPr>
          <w:ilvl w:val="0"/>
          <w:numId w:val="2"/>
        </w:numPr>
        <w:spacing w:after="0"/>
        <w:rPr>
          <w:rFonts w:cs="Arial"/>
          <w:szCs w:val="24"/>
        </w:rPr>
      </w:pPr>
      <w:r w:rsidRPr="00911B7F">
        <w:rPr>
          <w:rFonts w:cs="Arial"/>
          <w:szCs w:val="24"/>
        </w:rPr>
        <w:t xml:space="preserve">Highly informed </w:t>
      </w:r>
      <w:r w:rsidR="002D0B46" w:rsidRPr="00911B7F">
        <w:rPr>
          <w:rFonts w:cs="Arial"/>
          <w:szCs w:val="24"/>
        </w:rPr>
        <w:t xml:space="preserve">about </w:t>
      </w:r>
      <w:r w:rsidR="00C96C3A" w:rsidRPr="00911B7F">
        <w:rPr>
          <w:rFonts w:cs="Arial"/>
          <w:szCs w:val="24"/>
        </w:rPr>
        <w:t>education: its challenges and opportunities</w:t>
      </w:r>
      <w:r w:rsidR="00A325CA" w:rsidRPr="00911B7F">
        <w:rPr>
          <w:rFonts w:cs="Arial"/>
          <w:szCs w:val="24"/>
        </w:rPr>
        <w:t>;</w:t>
      </w:r>
    </w:p>
    <w:p w14:paraId="583E5FF3" w14:textId="0517D8F8" w:rsidR="00C96C3A" w:rsidRPr="00911B7F" w:rsidRDefault="003C2604" w:rsidP="00911B7F">
      <w:pPr>
        <w:pStyle w:val="ListParagraph"/>
        <w:numPr>
          <w:ilvl w:val="0"/>
          <w:numId w:val="2"/>
        </w:numPr>
        <w:spacing w:after="0"/>
        <w:rPr>
          <w:rFonts w:cs="Arial"/>
          <w:szCs w:val="24"/>
        </w:rPr>
      </w:pPr>
      <w:r w:rsidRPr="00911B7F">
        <w:rPr>
          <w:rFonts w:cs="Arial"/>
          <w:szCs w:val="24"/>
        </w:rPr>
        <w:t>A passion for</w:t>
      </w:r>
      <w:r w:rsidR="00C96C3A" w:rsidRPr="00911B7F">
        <w:rPr>
          <w:rFonts w:cs="Arial"/>
          <w:szCs w:val="24"/>
        </w:rPr>
        <w:t xml:space="preserve"> music education, </w:t>
      </w:r>
      <w:r w:rsidRPr="00911B7F">
        <w:rPr>
          <w:rFonts w:cs="Arial"/>
          <w:szCs w:val="24"/>
        </w:rPr>
        <w:t xml:space="preserve">and a keen interest in </w:t>
      </w:r>
      <w:r w:rsidR="00C96C3A" w:rsidRPr="00911B7F">
        <w:rPr>
          <w:rFonts w:cs="Arial"/>
          <w:szCs w:val="24"/>
        </w:rPr>
        <w:t>arts and culture</w:t>
      </w:r>
      <w:r w:rsidR="00A325CA" w:rsidRPr="00911B7F">
        <w:rPr>
          <w:rFonts w:cs="Arial"/>
          <w:szCs w:val="24"/>
        </w:rPr>
        <w:t>;</w:t>
      </w:r>
    </w:p>
    <w:p w14:paraId="6BF3C936" w14:textId="79CD4F26" w:rsidR="00C96C3A" w:rsidRPr="00911B7F" w:rsidRDefault="002D0B46" w:rsidP="00911B7F">
      <w:pPr>
        <w:pStyle w:val="ListParagraph"/>
        <w:numPr>
          <w:ilvl w:val="0"/>
          <w:numId w:val="2"/>
        </w:numPr>
        <w:spacing w:after="0"/>
        <w:rPr>
          <w:rFonts w:cs="Arial"/>
          <w:szCs w:val="24"/>
        </w:rPr>
      </w:pPr>
      <w:r w:rsidRPr="00911B7F">
        <w:rPr>
          <w:rFonts w:cs="Arial"/>
          <w:szCs w:val="24"/>
        </w:rPr>
        <w:t xml:space="preserve">A strong working </w:t>
      </w:r>
      <w:r w:rsidR="00C96C3A" w:rsidRPr="00911B7F">
        <w:rPr>
          <w:rFonts w:cs="Arial"/>
          <w:szCs w:val="24"/>
        </w:rPr>
        <w:t>knowledge and understanding of the ‘National Plan for Music Education’ (2011)</w:t>
      </w:r>
      <w:r w:rsidRPr="00911B7F">
        <w:rPr>
          <w:rFonts w:cs="Arial"/>
          <w:szCs w:val="24"/>
        </w:rPr>
        <w:t xml:space="preserve">, of best practice </w:t>
      </w:r>
      <w:r w:rsidR="00626D02" w:rsidRPr="00911B7F">
        <w:rPr>
          <w:rFonts w:cs="Arial"/>
          <w:szCs w:val="24"/>
        </w:rPr>
        <w:t xml:space="preserve">and </w:t>
      </w:r>
      <w:r w:rsidR="000F300D" w:rsidRPr="00911B7F">
        <w:rPr>
          <w:rFonts w:cs="Arial"/>
          <w:szCs w:val="24"/>
        </w:rPr>
        <w:t>implementation;</w:t>
      </w:r>
    </w:p>
    <w:p w14:paraId="027B17F4" w14:textId="269D43EF" w:rsidR="00C96C3A" w:rsidRPr="00911B7F" w:rsidRDefault="003C2604" w:rsidP="00911B7F">
      <w:pPr>
        <w:pStyle w:val="ListParagraph"/>
        <w:numPr>
          <w:ilvl w:val="0"/>
          <w:numId w:val="2"/>
        </w:numPr>
        <w:spacing w:after="0"/>
        <w:rPr>
          <w:rFonts w:cs="Arial"/>
          <w:szCs w:val="24"/>
        </w:rPr>
      </w:pPr>
      <w:r w:rsidRPr="00911B7F">
        <w:rPr>
          <w:rFonts w:cs="Arial"/>
          <w:szCs w:val="24"/>
        </w:rPr>
        <w:t xml:space="preserve">A commitment to </w:t>
      </w:r>
      <w:r w:rsidR="00C96C3A" w:rsidRPr="00911B7F">
        <w:rPr>
          <w:rFonts w:cs="Arial"/>
          <w:szCs w:val="24"/>
        </w:rPr>
        <w:t>ensuring diverse, inclusive and high-quality mus</w:t>
      </w:r>
      <w:r w:rsidR="004325A5" w:rsidRPr="00911B7F">
        <w:rPr>
          <w:rFonts w:cs="Arial"/>
          <w:szCs w:val="24"/>
        </w:rPr>
        <w:t xml:space="preserve">ic opportunities are offered to </w:t>
      </w:r>
      <w:r w:rsidR="00C96C3A" w:rsidRPr="00911B7F">
        <w:rPr>
          <w:rFonts w:cs="Arial"/>
          <w:szCs w:val="24"/>
        </w:rPr>
        <w:t xml:space="preserve">the children and young people of </w:t>
      </w:r>
      <w:r w:rsidR="004325A5" w:rsidRPr="00911B7F">
        <w:rPr>
          <w:rFonts w:cs="Arial"/>
          <w:szCs w:val="24"/>
        </w:rPr>
        <w:t>Somerset</w:t>
      </w:r>
      <w:r w:rsidR="00A325CA" w:rsidRPr="00911B7F">
        <w:rPr>
          <w:rFonts w:cs="Arial"/>
          <w:szCs w:val="24"/>
        </w:rPr>
        <w:t>;</w:t>
      </w:r>
    </w:p>
    <w:p w14:paraId="47529E84" w14:textId="1D543031" w:rsidR="00C96C3A" w:rsidRPr="00911B7F" w:rsidRDefault="00C96C3A" w:rsidP="00911B7F">
      <w:pPr>
        <w:pStyle w:val="ListParagraph"/>
        <w:numPr>
          <w:ilvl w:val="0"/>
          <w:numId w:val="2"/>
        </w:numPr>
        <w:spacing w:after="0"/>
        <w:rPr>
          <w:rFonts w:cs="Arial"/>
          <w:szCs w:val="24"/>
        </w:rPr>
      </w:pPr>
      <w:r w:rsidRPr="00911B7F">
        <w:rPr>
          <w:rFonts w:cs="Arial"/>
          <w:szCs w:val="24"/>
        </w:rPr>
        <w:t>The ability to chair a meeting efficiently, objectively, fairly</w:t>
      </w:r>
      <w:r w:rsidR="003C2604" w:rsidRPr="00911B7F">
        <w:rPr>
          <w:rFonts w:cs="Arial"/>
          <w:szCs w:val="24"/>
        </w:rPr>
        <w:t xml:space="preserve"> and a willingness to challenge </w:t>
      </w:r>
      <w:r w:rsidRPr="00911B7F">
        <w:rPr>
          <w:rFonts w:cs="Arial"/>
          <w:szCs w:val="24"/>
        </w:rPr>
        <w:t>when necessary</w:t>
      </w:r>
      <w:r w:rsidR="00A325CA" w:rsidRPr="00911B7F">
        <w:rPr>
          <w:rFonts w:cs="Arial"/>
          <w:szCs w:val="24"/>
        </w:rPr>
        <w:t>;</w:t>
      </w:r>
    </w:p>
    <w:p w14:paraId="4798149B" w14:textId="59B7497B" w:rsidR="00C96C3A" w:rsidRPr="00911B7F" w:rsidRDefault="00C96C3A" w:rsidP="00911B7F">
      <w:pPr>
        <w:pStyle w:val="ListParagraph"/>
        <w:numPr>
          <w:ilvl w:val="0"/>
          <w:numId w:val="2"/>
        </w:numPr>
        <w:spacing w:after="0"/>
        <w:rPr>
          <w:rFonts w:cs="Arial"/>
          <w:szCs w:val="24"/>
        </w:rPr>
      </w:pPr>
      <w:r w:rsidRPr="00911B7F">
        <w:rPr>
          <w:rFonts w:cs="Arial"/>
          <w:szCs w:val="24"/>
        </w:rPr>
        <w:t>An ability to ensure equal participation from all stakeholder representatives</w:t>
      </w:r>
      <w:r w:rsidR="00A325CA" w:rsidRPr="00911B7F">
        <w:rPr>
          <w:rFonts w:cs="Arial"/>
          <w:szCs w:val="24"/>
        </w:rPr>
        <w:t>;</w:t>
      </w:r>
    </w:p>
    <w:p w14:paraId="305B694F" w14:textId="77777777" w:rsidR="00C96C3A" w:rsidRPr="00911B7F" w:rsidRDefault="00C96C3A" w:rsidP="00911B7F">
      <w:pPr>
        <w:pStyle w:val="ListParagraph"/>
        <w:numPr>
          <w:ilvl w:val="0"/>
          <w:numId w:val="2"/>
        </w:numPr>
        <w:spacing w:after="0"/>
        <w:rPr>
          <w:rFonts w:cs="Arial"/>
          <w:szCs w:val="24"/>
        </w:rPr>
      </w:pPr>
      <w:r w:rsidRPr="00911B7F">
        <w:rPr>
          <w:rFonts w:cs="Arial"/>
          <w:szCs w:val="24"/>
        </w:rPr>
        <w:t>An ability to tackle and resolve issues constructively, positively and diplomatically.</w:t>
      </w:r>
    </w:p>
    <w:p w14:paraId="46138167" w14:textId="77777777" w:rsidR="001A234C" w:rsidRPr="00911B7F" w:rsidRDefault="001A234C" w:rsidP="00911B7F">
      <w:pPr>
        <w:spacing w:after="0"/>
        <w:rPr>
          <w:rFonts w:cs="Arial"/>
          <w:b/>
          <w:szCs w:val="24"/>
        </w:rPr>
      </w:pPr>
    </w:p>
    <w:p w14:paraId="3DE3BDDD" w14:textId="5602D789" w:rsidR="00C96C3A" w:rsidRPr="00911B7F" w:rsidRDefault="00C96C3A" w:rsidP="00911B7F">
      <w:pPr>
        <w:spacing w:after="0"/>
        <w:rPr>
          <w:rFonts w:cs="Arial"/>
          <w:b/>
          <w:szCs w:val="24"/>
        </w:rPr>
      </w:pPr>
      <w:r w:rsidRPr="00911B7F">
        <w:rPr>
          <w:rFonts w:cs="Arial"/>
          <w:b/>
          <w:szCs w:val="24"/>
        </w:rPr>
        <w:t>TERMS OF APPOINTMENT</w:t>
      </w:r>
    </w:p>
    <w:p w14:paraId="3F4968D3" w14:textId="77777777" w:rsidR="00911B7F" w:rsidRDefault="00911B7F" w:rsidP="00911B7F">
      <w:pPr>
        <w:spacing w:after="0"/>
        <w:rPr>
          <w:rFonts w:cs="Arial"/>
          <w:szCs w:val="24"/>
        </w:rPr>
      </w:pPr>
    </w:p>
    <w:p w14:paraId="076962C8" w14:textId="4B86B315" w:rsidR="00C96C3A" w:rsidRPr="00911B7F" w:rsidRDefault="00C96C3A" w:rsidP="00911B7F">
      <w:pPr>
        <w:spacing w:after="0"/>
        <w:rPr>
          <w:rFonts w:cs="Arial"/>
          <w:szCs w:val="24"/>
        </w:rPr>
      </w:pPr>
      <w:r w:rsidRPr="00911B7F">
        <w:rPr>
          <w:rFonts w:cs="Arial"/>
          <w:szCs w:val="24"/>
        </w:rPr>
        <w:t>This is a voluntary post and there are currently no expenses payabl</w:t>
      </w:r>
      <w:r w:rsidR="004325A5" w:rsidRPr="00911B7F">
        <w:rPr>
          <w:rFonts w:cs="Arial"/>
          <w:szCs w:val="24"/>
        </w:rPr>
        <w:t>e. However</w:t>
      </w:r>
      <w:r w:rsidR="00B175DD" w:rsidRPr="00911B7F">
        <w:rPr>
          <w:rFonts w:cs="Arial"/>
          <w:szCs w:val="24"/>
        </w:rPr>
        <w:t>,</w:t>
      </w:r>
      <w:r w:rsidR="004325A5" w:rsidRPr="00911B7F">
        <w:rPr>
          <w:rFonts w:cs="Arial"/>
          <w:szCs w:val="24"/>
        </w:rPr>
        <w:t xml:space="preserve"> this may be </w:t>
      </w:r>
      <w:proofErr w:type="gramStart"/>
      <w:r w:rsidR="004325A5" w:rsidRPr="00911B7F">
        <w:rPr>
          <w:rFonts w:cs="Arial"/>
          <w:szCs w:val="24"/>
        </w:rPr>
        <w:t>reviewed</w:t>
      </w:r>
      <w:proofErr w:type="gramEnd"/>
      <w:r w:rsidR="004325A5" w:rsidRPr="00911B7F">
        <w:rPr>
          <w:rFonts w:cs="Arial"/>
          <w:szCs w:val="24"/>
        </w:rPr>
        <w:t xml:space="preserve"> </w:t>
      </w:r>
      <w:r w:rsidRPr="00911B7F">
        <w:rPr>
          <w:rFonts w:cs="Arial"/>
          <w:szCs w:val="24"/>
        </w:rPr>
        <w:t>and consideration given</w:t>
      </w:r>
      <w:r w:rsidR="001A234C" w:rsidRPr="00911B7F">
        <w:rPr>
          <w:rFonts w:cs="Arial"/>
          <w:szCs w:val="24"/>
        </w:rPr>
        <w:t>.</w:t>
      </w:r>
      <w:r w:rsidR="004F08E6">
        <w:rPr>
          <w:rFonts w:cs="Arial"/>
          <w:szCs w:val="24"/>
        </w:rPr>
        <w:t xml:space="preserve"> </w:t>
      </w:r>
      <w:r w:rsidR="00B175DD" w:rsidRPr="00911B7F">
        <w:rPr>
          <w:rFonts w:cs="Arial"/>
          <w:szCs w:val="24"/>
        </w:rPr>
        <w:t xml:space="preserve">The post will </w:t>
      </w:r>
      <w:r w:rsidRPr="00911B7F">
        <w:rPr>
          <w:rFonts w:cs="Arial"/>
          <w:szCs w:val="24"/>
        </w:rPr>
        <w:t xml:space="preserve">initially be for a period of twelve months from </w:t>
      </w:r>
      <w:r w:rsidR="004325A5" w:rsidRPr="00911B7F">
        <w:rPr>
          <w:rFonts w:cs="Arial"/>
          <w:szCs w:val="24"/>
        </w:rPr>
        <w:t xml:space="preserve">Sept 2019 to Aug 2020 </w:t>
      </w:r>
      <w:r w:rsidRPr="00911B7F">
        <w:rPr>
          <w:rFonts w:cs="Arial"/>
          <w:szCs w:val="24"/>
        </w:rPr>
        <w:t>with the possibility to extend</w:t>
      </w:r>
      <w:r w:rsidR="001A234C" w:rsidRPr="00911B7F">
        <w:rPr>
          <w:rFonts w:cs="Arial"/>
          <w:szCs w:val="24"/>
        </w:rPr>
        <w:t>,</w:t>
      </w:r>
      <w:r w:rsidR="004325A5" w:rsidRPr="00911B7F">
        <w:rPr>
          <w:rFonts w:cs="Arial"/>
          <w:szCs w:val="24"/>
        </w:rPr>
        <w:t xml:space="preserve"> subject to </w:t>
      </w:r>
      <w:r w:rsidR="007706F2">
        <w:rPr>
          <w:rFonts w:cs="Arial"/>
          <w:szCs w:val="24"/>
        </w:rPr>
        <w:t xml:space="preserve">continued </w:t>
      </w:r>
      <w:r w:rsidR="004325A5" w:rsidRPr="00911B7F">
        <w:rPr>
          <w:rFonts w:cs="Arial"/>
          <w:szCs w:val="24"/>
        </w:rPr>
        <w:t>ACE funding</w:t>
      </w:r>
      <w:r w:rsidR="007706F2">
        <w:rPr>
          <w:rFonts w:cs="Arial"/>
          <w:szCs w:val="24"/>
        </w:rPr>
        <w:t xml:space="preserve"> of the Hub</w:t>
      </w:r>
      <w:r w:rsidR="004325A5" w:rsidRPr="00911B7F">
        <w:rPr>
          <w:rFonts w:cs="Arial"/>
          <w:szCs w:val="24"/>
        </w:rPr>
        <w:t>.</w:t>
      </w:r>
      <w:r w:rsidR="00AE7577" w:rsidRPr="00AE7577">
        <w:t xml:space="preserve"> </w:t>
      </w:r>
      <w:r w:rsidR="00AE7577">
        <w:rPr>
          <w:rFonts w:cs="Arial"/>
          <w:szCs w:val="24"/>
        </w:rPr>
        <w:t xml:space="preserve">As a guide, the </w:t>
      </w:r>
      <w:r w:rsidR="007438C0">
        <w:rPr>
          <w:rFonts w:cs="Arial"/>
          <w:szCs w:val="24"/>
        </w:rPr>
        <w:t>anticipated</w:t>
      </w:r>
      <w:r w:rsidR="00AE7577" w:rsidRPr="00AE7577">
        <w:rPr>
          <w:rFonts w:cs="Arial"/>
          <w:szCs w:val="24"/>
        </w:rPr>
        <w:t xml:space="preserve"> </w:t>
      </w:r>
      <w:r w:rsidR="007438C0">
        <w:rPr>
          <w:rFonts w:cs="Arial"/>
          <w:szCs w:val="24"/>
        </w:rPr>
        <w:t xml:space="preserve">minimum </w:t>
      </w:r>
      <w:r w:rsidR="00AE7577" w:rsidRPr="00AE7577">
        <w:rPr>
          <w:rFonts w:cs="Arial"/>
          <w:szCs w:val="24"/>
        </w:rPr>
        <w:t xml:space="preserve">number of </w:t>
      </w:r>
      <w:r w:rsidR="007438C0">
        <w:rPr>
          <w:rFonts w:cs="Arial"/>
          <w:szCs w:val="24"/>
        </w:rPr>
        <w:t xml:space="preserve">voluntary </w:t>
      </w:r>
      <w:r w:rsidR="00AE7577" w:rsidRPr="00AE7577">
        <w:rPr>
          <w:rFonts w:cs="Arial"/>
          <w:szCs w:val="24"/>
        </w:rPr>
        <w:t>hours over the academic yea</w:t>
      </w:r>
      <w:r w:rsidR="00D9333C">
        <w:rPr>
          <w:rFonts w:cs="Arial"/>
          <w:szCs w:val="24"/>
        </w:rPr>
        <w:t xml:space="preserve">r is approximately 30 including meeting attendance </w:t>
      </w:r>
      <w:r w:rsidR="00F969AB">
        <w:rPr>
          <w:rFonts w:cs="Arial"/>
          <w:szCs w:val="24"/>
        </w:rPr>
        <w:t xml:space="preserve">and preparation, </w:t>
      </w:r>
      <w:r w:rsidR="00D9333C">
        <w:rPr>
          <w:rFonts w:cs="Arial"/>
          <w:szCs w:val="24"/>
        </w:rPr>
        <w:t>but not including concert attendance.</w:t>
      </w:r>
    </w:p>
    <w:p w14:paraId="541F085C" w14:textId="77777777" w:rsidR="001A234C" w:rsidRPr="00911B7F" w:rsidRDefault="001A234C" w:rsidP="00911B7F">
      <w:pPr>
        <w:spacing w:after="0"/>
        <w:rPr>
          <w:rFonts w:cs="Arial"/>
          <w:b/>
          <w:szCs w:val="24"/>
        </w:rPr>
      </w:pPr>
    </w:p>
    <w:p w14:paraId="70FF3738" w14:textId="56038544" w:rsidR="00C96C3A" w:rsidRDefault="00C96C3A" w:rsidP="00911B7F">
      <w:pPr>
        <w:spacing w:after="0"/>
        <w:rPr>
          <w:rFonts w:cs="Arial"/>
          <w:b/>
          <w:szCs w:val="24"/>
        </w:rPr>
      </w:pPr>
      <w:r w:rsidRPr="00911B7F">
        <w:rPr>
          <w:rFonts w:cs="Arial"/>
          <w:b/>
          <w:szCs w:val="24"/>
        </w:rPr>
        <w:t>EQUALITY STATEMENT</w:t>
      </w:r>
    </w:p>
    <w:p w14:paraId="601C5399" w14:textId="39C002E1" w:rsidR="004F08E6" w:rsidRDefault="004F08E6" w:rsidP="00911B7F">
      <w:pPr>
        <w:spacing w:after="0"/>
        <w:rPr>
          <w:rFonts w:cs="Arial"/>
          <w:b/>
          <w:szCs w:val="24"/>
        </w:rPr>
      </w:pPr>
    </w:p>
    <w:p w14:paraId="163B339A" w14:textId="17DFF94D" w:rsidR="004F08E6" w:rsidRPr="004F08E6" w:rsidRDefault="004F08E6" w:rsidP="004F08E6">
      <w:pPr>
        <w:spacing w:after="0"/>
        <w:rPr>
          <w:rFonts w:cs="Arial"/>
          <w:szCs w:val="24"/>
        </w:rPr>
      </w:pPr>
      <w:r w:rsidRPr="004F08E6">
        <w:rPr>
          <w:rFonts w:cs="Arial"/>
          <w:szCs w:val="24"/>
        </w:rPr>
        <w:t>Sound Foundation Somerset supports Equality and Diversity. We welcome all applications irrespective of age, disability, sex, gender reassignment, sexual orientation, family circumstances, race, religion and marital status.</w:t>
      </w:r>
    </w:p>
    <w:p w14:paraId="39A5867B" w14:textId="77777777" w:rsidR="00A325CA" w:rsidRPr="00911B7F" w:rsidRDefault="00A325CA" w:rsidP="00911B7F">
      <w:pPr>
        <w:spacing w:after="0"/>
        <w:rPr>
          <w:rFonts w:cs="Arial"/>
          <w:szCs w:val="24"/>
        </w:rPr>
      </w:pPr>
    </w:p>
    <w:p w14:paraId="75305F60" w14:textId="77777777" w:rsidR="000450A9" w:rsidRPr="00646238" w:rsidRDefault="000450A9" w:rsidP="000450A9">
      <w:r>
        <w:t xml:space="preserve">For further information, please contact Helen Reid, Hub Lead Officer </w:t>
      </w:r>
      <w:hyperlink r:id="rId8" w:history="1">
        <w:r w:rsidRPr="004A66DE">
          <w:rPr>
            <w:rStyle w:val="Hyperlink"/>
          </w:rPr>
          <w:t>hreid@somerset.gov.uk</w:t>
        </w:r>
      </w:hyperlink>
      <w:r>
        <w:t xml:space="preserve"> </w:t>
      </w:r>
      <w:proofErr w:type="spellStart"/>
      <w:r>
        <w:t>tel</w:t>
      </w:r>
      <w:proofErr w:type="spellEnd"/>
      <w:r>
        <w:t xml:space="preserve"> 01823 355329 or Glyn Bowen, Director, Somerset Music </w:t>
      </w:r>
      <w:hyperlink r:id="rId9" w:history="1">
        <w:r w:rsidRPr="004A66DE">
          <w:rPr>
            <w:rStyle w:val="Hyperlink"/>
          </w:rPr>
          <w:t>gbowen@somerset.gov.uk</w:t>
        </w:r>
      </w:hyperlink>
      <w:r>
        <w:t xml:space="preserve"> </w:t>
      </w:r>
      <w:proofErr w:type="spellStart"/>
      <w:r>
        <w:t>tel</w:t>
      </w:r>
      <w:proofErr w:type="spellEnd"/>
      <w:r>
        <w:t xml:space="preserve"> 0300 123 7364.</w:t>
      </w:r>
    </w:p>
    <w:p w14:paraId="65F21EA9" w14:textId="168C8B03" w:rsidR="00550933" w:rsidRDefault="000450A9" w:rsidP="00847B50">
      <w:bookmarkStart w:id="0" w:name="_Hlk5370355"/>
      <w:r>
        <w:t xml:space="preserve">To apply please e-mail a letter of application </w:t>
      </w:r>
      <w:r w:rsidR="0045019A">
        <w:t xml:space="preserve">explaining why the role of Independent Chair is of interest, </w:t>
      </w:r>
      <w:r>
        <w:t>detailing your previous experience</w:t>
      </w:r>
      <w:r w:rsidR="00550933">
        <w:t xml:space="preserve">, </w:t>
      </w:r>
      <w:r>
        <w:t xml:space="preserve">explaining how you consider yourself to have the necessary skills and attributes to fulfil this role </w:t>
      </w:r>
      <w:r w:rsidR="00550933">
        <w:t xml:space="preserve">and </w:t>
      </w:r>
      <w:r w:rsidR="00550933" w:rsidRPr="00550933">
        <w:t xml:space="preserve">including the names and contact details of 2 referees </w:t>
      </w:r>
      <w:r>
        <w:t xml:space="preserve">to Julie Hoccom </w:t>
      </w:r>
      <w:hyperlink r:id="rId10" w:history="1">
        <w:r w:rsidRPr="00286101">
          <w:rPr>
            <w:rStyle w:val="Hyperlink"/>
          </w:rPr>
          <w:t>Jhoccom@somerset.gov.uk</w:t>
        </w:r>
      </w:hyperlink>
      <w:r>
        <w:t xml:space="preserve"> </w:t>
      </w:r>
    </w:p>
    <w:p w14:paraId="6076C82B" w14:textId="55177A76" w:rsidR="00516A78" w:rsidRPr="00847B50" w:rsidRDefault="000450A9" w:rsidP="00847B50">
      <w:r>
        <w:t xml:space="preserve">CVs can be attached to your letter in support of your application. </w:t>
      </w:r>
      <w:bookmarkEnd w:id="0"/>
      <w:r w:rsidRPr="00646238">
        <w:t>The closing date for applications is</w:t>
      </w:r>
      <w:r>
        <w:t xml:space="preserve"> 5pm on Friday 17 May </w:t>
      </w:r>
      <w:r w:rsidRPr="00646238">
        <w:t>2019</w:t>
      </w:r>
      <w:r>
        <w:t>. It is hoped that interviews will take place prior to the end of May 2019.</w:t>
      </w:r>
      <w:bookmarkStart w:id="1" w:name="_GoBack"/>
      <w:bookmarkEnd w:id="1"/>
    </w:p>
    <w:sectPr w:rsidR="00516A78" w:rsidRPr="00847B50" w:rsidSect="00FC6B3F">
      <w:footerReference w:type="default" r:id="rId11"/>
      <w:pgSz w:w="11906" w:h="16838"/>
      <w:pgMar w:top="1440" w:right="1440" w:bottom="1440" w:left="1440" w:header="0" w:footer="340"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67E5" w14:textId="77777777" w:rsidR="00370CD2" w:rsidRDefault="00370CD2" w:rsidP="00370CD2">
      <w:pPr>
        <w:spacing w:after="0" w:line="240" w:lineRule="auto"/>
      </w:pPr>
      <w:r>
        <w:separator/>
      </w:r>
    </w:p>
  </w:endnote>
  <w:endnote w:type="continuationSeparator" w:id="0">
    <w:p w14:paraId="3E35EAA0" w14:textId="77777777" w:rsidR="00370CD2" w:rsidRDefault="00370CD2" w:rsidP="0037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257619"/>
      <w:docPartObj>
        <w:docPartGallery w:val="Page Numbers (Bottom of Page)"/>
        <w:docPartUnique/>
      </w:docPartObj>
    </w:sdtPr>
    <w:sdtEndPr>
      <w:rPr>
        <w:noProof/>
      </w:rPr>
    </w:sdtEndPr>
    <w:sdtContent>
      <w:p w14:paraId="40EBAF45" w14:textId="7070F0A1" w:rsidR="00370CD2" w:rsidRDefault="00370C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F0D04" w14:textId="77777777" w:rsidR="00370CD2" w:rsidRDefault="0037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0C49" w14:textId="77777777" w:rsidR="00370CD2" w:rsidRDefault="00370CD2" w:rsidP="00370CD2">
      <w:pPr>
        <w:spacing w:after="0" w:line="240" w:lineRule="auto"/>
      </w:pPr>
      <w:r>
        <w:separator/>
      </w:r>
    </w:p>
  </w:footnote>
  <w:footnote w:type="continuationSeparator" w:id="0">
    <w:p w14:paraId="32C74EE7" w14:textId="77777777" w:rsidR="00370CD2" w:rsidRDefault="00370CD2" w:rsidP="00370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3B9"/>
    <w:multiLevelType w:val="hybridMultilevel"/>
    <w:tmpl w:val="694E4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D12B9"/>
    <w:multiLevelType w:val="hybridMultilevel"/>
    <w:tmpl w:val="E806C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C34B7F"/>
    <w:multiLevelType w:val="hybridMultilevel"/>
    <w:tmpl w:val="AFBC3252"/>
    <w:lvl w:ilvl="0" w:tplc="08090001">
      <w:start w:val="1"/>
      <w:numFmt w:val="bullet"/>
      <w:lvlText w:val=""/>
      <w:lvlJc w:val="left"/>
      <w:pPr>
        <w:ind w:left="720" w:hanging="360"/>
      </w:pPr>
      <w:rPr>
        <w:rFonts w:ascii="Symbol" w:hAnsi="Symbol" w:hint="default"/>
      </w:rPr>
    </w:lvl>
    <w:lvl w:ilvl="1" w:tplc="EA845DD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F3265"/>
    <w:multiLevelType w:val="hybridMultilevel"/>
    <w:tmpl w:val="F044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44B3A"/>
    <w:multiLevelType w:val="hybridMultilevel"/>
    <w:tmpl w:val="E276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3A"/>
    <w:rsid w:val="0001102F"/>
    <w:rsid w:val="00017C6C"/>
    <w:rsid w:val="000362B1"/>
    <w:rsid w:val="00040B16"/>
    <w:rsid w:val="000450A9"/>
    <w:rsid w:val="00065339"/>
    <w:rsid w:val="00096974"/>
    <w:rsid w:val="000D7254"/>
    <w:rsid w:val="000F300D"/>
    <w:rsid w:val="00140295"/>
    <w:rsid w:val="00150CB1"/>
    <w:rsid w:val="001A234C"/>
    <w:rsid w:val="00243789"/>
    <w:rsid w:val="00267A76"/>
    <w:rsid w:val="0028092B"/>
    <w:rsid w:val="002C1CA5"/>
    <w:rsid w:val="002D0B46"/>
    <w:rsid w:val="00300BE6"/>
    <w:rsid w:val="003174EC"/>
    <w:rsid w:val="00370CD2"/>
    <w:rsid w:val="00383F38"/>
    <w:rsid w:val="003C2604"/>
    <w:rsid w:val="003F524C"/>
    <w:rsid w:val="004325A5"/>
    <w:rsid w:val="0045019A"/>
    <w:rsid w:val="004D42A0"/>
    <w:rsid w:val="004F08E6"/>
    <w:rsid w:val="00505189"/>
    <w:rsid w:val="00516A78"/>
    <w:rsid w:val="00524F18"/>
    <w:rsid w:val="00525A7B"/>
    <w:rsid w:val="0054776E"/>
    <w:rsid w:val="00550933"/>
    <w:rsid w:val="00574BC2"/>
    <w:rsid w:val="005A6B30"/>
    <w:rsid w:val="005A7BBB"/>
    <w:rsid w:val="006001BF"/>
    <w:rsid w:val="00617E27"/>
    <w:rsid w:val="00626D02"/>
    <w:rsid w:val="00631FB7"/>
    <w:rsid w:val="00646238"/>
    <w:rsid w:val="00694D29"/>
    <w:rsid w:val="006D5E4C"/>
    <w:rsid w:val="00714D09"/>
    <w:rsid w:val="0073256C"/>
    <w:rsid w:val="007438C0"/>
    <w:rsid w:val="007706F2"/>
    <w:rsid w:val="007A6003"/>
    <w:rsid w:val="007E2803"/>
    <w:rsid w:val="007F521E"/>
    <w:rsid w:val="008031EC"/>
    <w:rsid w:val="00827B7D"/>
    <w:rsid w:val="00847B50"/>
    <w:rsid w:val="00863EEA"/>
    <w:rsid w:val="00864DAB"/>
    <w:rsid w:val="008713A0"/>
    <w:rsid w:val="0089695A"/>
    <w:rsid w:val="008D242E"/>
    <w:rsid w:val="008D50D1"/>
    <w:rsid w:val="008E72EB"/>
    <w:rsid w:val="00911B7F"/>
    <w:rsid w:val="0093417B"/>
    <w:rsid w:val="009502A1"/>
    <w:rsid w:val="00960A38"/>
    <w:rsid w:val="00984C36"/>
    <w:rsid w:val="009A3002"/>
    <w:rsid w:val="009E5547"/>
    <w:rsid w:val="009E71D2"/>
    <w:rsid w:val="00A02F32"/>
    <w:rsid w:val="00A26BE4"/>
    <w:rsid w:val="00A325CA"/>
    <w:rsid w:val="00A84D79"/>
    <w:rsid w:val="00AB3A74"/>
    <w:rsid w:val="00AC05C8"/>
    <w:rsid w:val="00AD00D2"/>
    <w:rsid w:val="00AE7577"/>
    <w:rsid w:val="00B007D0"/>
    <w:rsid w:val="00B01CAB"/>
    <w:rsid w:val="00B0475A"/>
    <w:rsid w:val="00B175DD"/>
    <w:rsid w:val="00B22416"/>
    <w:rsid w:val="00B33EC2"/>
    <w:rsid w:val="00B84C5B"/>
    <w:rsid w:val="00BC56D2"/>
    <w:rsid w:val="00BE1E5A"/>
    <w:rsid w:val="00C00437"/>
    <w:rsid w:val="00C02D52"/>
    <w:rsid w:val="00C65C48"/>
    <w:rsid w:val="00C92EE5"/>
    <w:rsid w:val="00C96C3A"/>
    <w:rsid w:val="00CA2DAB"/>
    <w:rsid w:val="00D55BF2"/>
    <w:rsid w:val="00D9333C"/>
    <w:rsid w:val="00DD540A"/>
    <w:rsid w:val="00E00964"/>
    <w:rsid w:val="00EA0102"/>
    <w:rsid w:val="00EE76DA"/>
    <w:rsid w:val="00F969AB"/>
    <w:rsid w:val="00FC6B3F"/>
    <w:rsid w:val="00FF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B284D"/>
  <w15:chartTrackingRefBased/>
  <w15:docId w15:val="{C2D0A1FD-0D2B-4D65-AA61-945C47EA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A5"/>
    <w:pPr>
      <w:ind w:left="720"/>
      <w:contextualSpacing/>
    </w:pPr>
  </w:style>
  <w:style w:type="character" w:styleId="Hyperlink">
    <w:name w:val="Hyperlink"/>
    <w:basedOn w:val="DefaultParagraphFont"/>
    <w:uiPriority w:val="99"/>
    <w:unhideWhenUsed/>
    <w:rsid w:val="00B175DD"/>
    <w:rPr>
      <w:color w:val="0563C1" w:themeColor="hyperlink"/>
      <w:u w:val="single"/>
    </w:rPr>
  </w:style>
  <w:style w:type="character" w:styleId="UnresolvedMention">
    <w:name w:val="Unresolved Mention"/>
    <w:basedOn w:val="DefaultParagraphFont"/>
    <w:uiPriority w:val="99"/>
    <w:semiHidden/>
    <w:unhideWhenUsed/>
    <w:rsid w:val="00B175DD"/>
    <w:rPr>
      <w:color w:val="808080"/>
      <w:shd w:val="clear" w:color="auto" w:fill="E6E6E6"/>
    </w:rPr>
  </w:style>
  <w:style w:type="paragraph" w:styleId="BalloonText">
    <w:name w:val="Balloon Text"/>
    <w:basedOn w:val="Normal"/>
    <w:link w:val="BalloonTextChar"/>
    <w:uiPriority w:val="99"/>
    <w:semiHidden/>
    <w:unhideWhenUsed/>
    <w:rsid w:val="00827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7D"/>
    <w:rPr>
      <w:rFonts w:ascii="Segoe UI" w:hAnsi="Segoe UI" w:cs="Segoe UI"/>
      <w:sz w:val="18"/>
      <w:szCs w:val="18"/>
    </w:rPr>
  </w:style>
  <w:style w:type="paragraph" w:styleId="Header">
    <w:name w:val="header"/>
    <w:basedOn w:val="Normal"/>
    <w:link w:val="HeaderChar"/>
    <w:uiPriority w:val="99"/>
    <w:unhideWhenUsed/>
    <w:rsid w:val="00370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D2"/>
  </w:style>
  <w:style w:type="paragraph" w:styleId="Footer">
    <w:name w:val="footer"/>
    <w:basedOn w:val="Normal"/>
    <w:link w:val="FooterChar"/>
    <w:uiPriority w:val="99"/>
    <w:unhideWhenUsed/>
    <w:rsid w:val="00370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id@somerse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80973/DFE-00086-20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hoccom@somerset.gov.uk" TargetMode="External"/><Relationship Id="rId4" Type="http://schemas.openxmlformats.org/officeDocument/2006/relationships/webSettings" Target="webSettings.xml"/><Relationship Id="rId9" Type="http://schemas.openxmlformats.org/officeDocument/2006/relationships/hyperlink" Target="mailto:gbowe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Reid</dc:creator>
  <cp:keywords/>
  <dc:description/>
  <cp:lastModifiedBy>Helen Reid</cp:lastModifiedBy>
  <cp:revision>2</cp:revision>
  <cp:lastPrinted>2019-01-10T08:50:00Z</cp:lastPrinted>
  <dcterms:created xsi:type="dcterms:W3CDTF">2019-04-11T11:33:00Z</dcterms:created>
  <dcterms:modified xsi:type="dcterms:W3CDTF">2019-04-11T11:33:00Z</dcterms:modified>
</cp:coreProperties>
</file>